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C9" w:rsidRDefault="005F1DC9" w:rsidP="005F1DC9">
      <w:pPr>
        <w:pStyle w:val="ListParagraph"/>
        <w:ind w:left="0"/>
      </w:pPr>
      <w:r>
        <w:t xml:space="preserve">Country Report – </w:t>
      </w:r>
      <w:r w:rsidR="00A07E4A">
        <w:t>SINGAPORE</w:t>
      </w:r>
    </w:p>
    <w:p w:rsidR="00E63638" w:rsidRDefault="00E63638" w:rsidP="005F1DC9">
      <w:pPr>
        <w:pStyle w:val="ListParagraph"/>
        <w:ind w:left="0"/>
      </w:pPr>
    </w:p>
    <w:p w:rsidR="00A01AE6" w:rsidRDefault="00A01AE6" w:rsidP="00A01AE6">
      <w:pPr>
        <w:pStyle w:val="ListParagraph"/>
        <w:numPr>
          <w:ilvl w:val="0"/>
          <w:numId w:val="10"/>
        </w:numPr>
      </w:pPr>
      <w:r>
        <w:t>Socio-economic Snapshot</w:t>
      </w:r>
    </w:p>
    <w:p w:rsidR="00A01AE6" w:rsidRDefault="00A01AE6" w:rsidP="00A01AE6">
      <w:pPr>
        <w:pStyle w:val="ListParagraph"/>
        <w:numPr>
          <w:ilvl w:val="1"/>
          <w:numId w:val="10"/>
        </w:numPr>
        <w:ind w:left="2250"/>
      </w:pPr>
      <w:r w:rsidRPr="005124B5">
        <w:t>Population</w:t>
      </w:r>
    </w:p>
    <w:p w:rsidR="00F30F7E" w:rsidRDefault="00F30F7E" w:rsidP="00F30F7E">
      <w:pPr>
        <w:pStyle w:val="ListParagraph"/>
        <w:ind w:left="2250"/>
      </w:pPr>
    </w:p>
    <w:p w:rsidR="008B65E1" w:rsidRDefault="003C25F5" w:rsidP="00F30F7E">
      <w:pPr>
        <w:pStyle w:val="ListParagraph"/>
        <w:ind w:left="2250"/>
      </w:pPr>
      <w:r>
        <w:t>Population of Singapore is 5,353,494. Population wise it 114</w:t>
      </w:r>
      <w:r w:rsidRPr="003C25F5">
        <w:rPr>
          <w:vertAlign w:val="superscript"/>
        </w:rPr>
        <w:t>th</w:t>
      </w:r>
      <w:r>
        <w:t xml:space="preserve"> country in the world. Population growth rate is 1.993</w:t>
      </w:r>
      <w:r w:rsidR="008B65E1">
        <w:t>%.</w:t>
      </w:r>
      <w:r>
        <w:t xml:space="preserve"> Ethnic division of the population is Chinese 76.8%, Malay 13.9%, Indian 7.9%, other 1.4%. In the country, Buddhist are 42.5%, Muslim 14.9%, Taoist 8.5%, Hindu 4%, Catholic 4.8%, other Christian 9.8%, other 0.7%, none 14.8%.</w:t>
      </w:r>
      <w:r w:rsidR="00AE0D22">
        <w:rPr>
          <w:rStyle w:val="FootnoteReference"/>
        </w:rPr>
        <w:footnoteReference w:id="1"/>
      </w:r>
    </w:p>
    <w:p w:rsidR="00F30F7E" w:rsidRDefault="00F30F7E" w:rsidP="00F30F7E">
      <w:pPr>
        <w:pStyle w:val="ListParagraph"/>
        <w:ind w:left="2250"/>
      </w:pPr>
    </w:p>
    <w:p w:rsidR="00617AE8" w:rsidRDefault="00A01AE6" w:rsidP="00F30F7E">
      <w:pPr>
        <w:pStyle w:val="ListParagraph"/>
        <w:numPr>
          <w:ilvl w:val="1"/>
          <w:numId w:val="10"/>
        </w:numPr>
        <w:ind w:left="2250"/>
      </w:pPr>
      <w:r w:rsidRPr="005124B5">
        <w:t>Per Capita Income</w:t>
      </w:r>
      <w:r w:rsidR="00F748B5">
        <w:t xml:space="preserve"> of the country is US $49,271</w:t>
      </w:r>
      <w:r w:rsidR="00617AE8">
        <w:t>.</w:t>
      </w:r>
      <w:r w:rsidR="00617AE8">
        <w:rPr>
          <w:rStyle w:val="FootnoteReference"/>
        </w:rPr>
        <w:footnoteReference w:id="2"/>
      </w:r>
    </w:p>
    <w:p w:rsidR="005D414D" w:rsidRDefault="005D414D" w:rsidP="00F30F7E">
      <w:pPr>
        <w:pStyle w:val="ListParagraph"/>
        <w:ind w:left="2250"/>
      </w:pPr>
    </w:p>
    <w:p w:rsidR="00A01AE6" w:rsidRDefault="00A01AE6" w:rsidP="00A01AE6">
      <w:pPr>
        <w:pStyle w:val="ListParagraph"/>
        <w:numPr>
          <w:ilvl w:val="1"/>
          <w:numId w:val="10"/>
        </w:numPr>
        <w:ind w:left="2250"/>
      </w:pPr>
      <w:r>
        <w:t>Affordability</w:t>
      </w:r>
    </w:p>
    <w:p w:rsidR="005A6BD4" w:rsidRPr="005A6BD4" w:rsidRDefault="005A6BD4" w:rsidP="005A6BD4">
      <w:pPr>
        <w:spacing w:before="100" w:beforeAutospacing="1" w:after="100" w:afterAutospacing="1" w:line="240" w:lineRule="auto"/>
        <w:ind w:left="2268"/>
        <w:rPr>
          <w:rFonts w:eastAsia="Times New Roman" w:cstheme="minorHAnsi"/>
          <w:lang w:val="en-GB" w:eastAsia="en-GB"/>
        </w:rPr>
      </w:pPr>
      <w:r>
        <w:rPr>
          <w:rFonts w:eastAsia="Times New Roman" w:cstheme="minorHAnsi"/>
          <w:lang w:val="en-GB" w:eastAsia="en-GB"/>
        </w:rPr>
        <w:t xml:space="preserve">Singapore </w:t>
      </w:r>
      <w:r w:rsidRPr="005A6BD4">
        <w:rPr>
          <w:rFonts w:eastAsia="Times New Roman" w:cstheme="minorHAnsi"/>
          <w:lang w:val="en-GB" w:eastAsia="en-GB"/>
        </w:rPr>
        <w:t xml:space="preserve">is often cited as a successful example of affordable housing production in Asian cities. As with Hong Kong, the Singapore public housing policy intervention for resident population has progressively led to society-wide enjoyment of the right to adequate housing. Some 85 per cent of Singapore’s resident population lives in public housing. More than 850,000 housing units in 23 new towns have been constructed. While the poor elsewhere are homeless, the poorest 20 per cent of households in Singapore have equal access to housing resources, albeit public </w:t>
      </w:r>
      <w:r w:rsidR="001C393C" w:rsidRPr="005A6BD4">
        <w:rPr>
          <w:rFonts w:eastAsia="Times New Roman" w:cstheme="minorHAnsi"/>
          <w:lang w:val="en-GB" w:eastAsia="en-GB"/>
        </w:rPr>
        <w:t>housing</w:t>
      </w:r>
      <w:r w:rsidRPr="005A6BD4">
        <w:rPr>
          <w:rFonts w:eastAsia="Times New Roman" w:cstheme="minorHAnsi"/>
          <w:lang w:val="en-GB" w:eastAsia="en-GB"/>
        </w:rPr>
        <w:t xml:space="preserve"> and many are homeowners. The proportions bear witness to the realization of housing rights. </w:t>
      </w:r>
      <w:r w:rsidR="007374F0">
        <w:rPr>
          <w:rFonts w:eastAsia="Times New Roman" w:cstheme="minorHAnsi"/>
          <w:lang w:val="en-GB" w:eastAsia="en-GB"/>
        </w:rPr>
        <w:t xml:space="preserve">This remarkable success of Singapore has provided answers to many questions generally raised in relation to providing affordable housing to all. </w:t>
      </w:r>
      <w:r w:rsidRPr="005A6BD4">
        <w:rPr>
          <w:rFonts w:eastAsia="Times New Roman" w:cstheme="minorHAnsi"/>
          <w:lang w:val="en-GB" w:eastAsia="en-GB"/>
        </w:rPr>
        <w:t xml:space="preserve">How did Singapore scale up and provide housing access to the urban poor? What are the key policy tools and reforms? What are the pros and cons of those policy tools and interventions? To what extent are the lessons learned transferable notwithstanding Singapore’s uniqueness (small city size, particular cultural, economic and political conditions)? More critically, to what extent does the public housing policy intervention improve the urban quality of life among the poor especially when their traditional abode is changed from low-rise (2-3 story) to high-rise living (the tallest is presently 30-story and going taller)? </w:t>
      </w:r>
    </w:p>
    <w:p w:rsidR="005A6BD4" w:rsidRPr="005A6BD4" w:rsidRDefault="005A6BD4" w:rsidP="005A6BD4">
      <w:pPr>
        <w:spacing w:before="100" w:beforeAutospacing="1" w:after="100" w:afterAutospacing="1" w:line="240" w:lineRule="auto"/>
        <w:ind w:left="2268"/>
        <w:rPr>
          <w:rFonts w:eastAsia="Times New Roman" w:cstheme="minorHAnsi"/>
          <w:lang w:val="en-GB" w:eastAsia="en-GB"/>
        </w:rPr>
      </w:pPr>
      <w:r w:rsidRPr="005A6BD4">
        <w:rPr>
          <w:rFonts w:eastAsia="Times New Roman" w:cstheme="minorHAnsi"/>
          <w:lang w:val="en-GB" w:eastAsia="en-GB"/>
        </w:rPr>
        <w:t xml:space="preserve">Given its widely recognized success, the Singapore public housing development has attracted keen research interest (see, for example, Wong and </w:t>
      </w:r>
      <w:proofErr w:type="spellStart"/>
      <w:r w:rsidRPr="005A6BD4">
        <w:rPr>
          <w:rFonts w:eastAsia="Times New Roman" w:cstheme="minorHAnsi"/>
          <w:lang w:val="en-GB" w:eastAsia="en-GB"/>
        </w:rPr>
        <w:t>Yeh</w:t>
      </w:r>
      <w:proofErr w:type="spellEnd"/>
      <w:r w:rsidRPr="005A6BD4">
        <w:rPr>
          <w:rFonts w:eastAsia="Times New Roman" w:cstheme="minorHAnsi"/>
          <w:lang w:val="en-GB" w:eastAsia="en-GB"/>
        </w:rPr>
        <w:t>, 1985; Yuen et al, 1999) but few have clarified the public housing-urban poverty nexus. This provides the</w:t>
      </w:r>
      <w:r w:rsidR="00213D50">
        <w:rPr>
          <w:rFonts w:eastAsia="Times New Roman" w:cstheme="minorHAnsi"/>
          <w:lang w:val="en-GB" w:eastAsia="en-GB"/>
        </w:rPr>
        <w:t xml:space="preserve"> starting point for analysing</w:t>
      </w:r>
      <w:r w:rsidRPr="005A6BD4">
        <w:rPr>
          <w:rFonts w:eastAsia="Times New Roman" w:cstheme="minorHAnsi"/>
          <w:lang w:val="en-GB" w:eastAsia="en-GB"/>
        </w:rPr>
        <w:t xml:space="preserve"> the performance of housing development</w:t>
      </w:r>
      <w:r w:rsidR="00213D50">
        <w:rPr>
          <w:rFonts w:eastAsia="Times New Roman" w:cstheme="minorHAnsi"/>
          <w:lang w:val="en-GB" w:eastAsia="en-GB"/>
        </w:rPr>
        <w:t xml:space="preserve"> in Singapore. To </w:t>
      </w:r>
      <w:r w:rsidR="006659B4">
        <w:rPr>
          <w:rFonts w:eastAsia="Times New Roman" w:cstheme="minorHAnsi"/>
          <w:lang w:val="en-GB" w:eastAsia="en-GB"/>
        </w:rPr>
        <w:t>understand it better, one needs to understand</w:t>
      </w:r>
      <w:r w:rsidRPr="005A6BD4">
        <w:rPr>
          <w:rFonts w:eastAsia="Times New Roman" w:cstheme="minorHAnsi"/>
          <w:lang w:val="en-GB" w:eastAsia="en-GB"/>
        </w:rPr>
        <w:t xml:space="preserve"> the extent of poverty in Singapore followed by an examinat</w:t>
      </w:r>
      <w:r w:rsidR="006659B4">
        <w:rPr>
          <w:rFonts w:eastAsia="Times New Roman" w:cstheme="minorHAnsi"/>
          <w:lang w:val="en-GB" w:eastAsia="en-GB"/>
        </w:rPr>
        <w:t xml:space="preserve">ion of government attitudes, </w:t>
      </w:r>
      <w:r w:rsidRPr="005A6BD4">
        <w:rPr>
          <w:rFonts w:eastAsia="Times New Roman" w:cstheme="minorHAnsi"/>
          <w:lang w:val="en-GB" w:eastAsia="en-GB"/>
        </w:rPr>
        <w:t>responses</w:t>
      </w:r>
      <w:r w:rsidR="006659B4">
        <w:rPr>
          <w:rFonts w:eastAsia="Times New Roman" w:cstheme="minorHAnsi"/>
          <w:lang w:val="en-GB" w:eastAsia="en-GB"/>
        </w:rPr>
        <w:t xml:space="preserve"> and commitment to housing problem, </w:t>
      </w:r>
      <w:r w:rsidR="006659B4">
        <w:rPr>
          <w:rFonts w:eastAsia="Times New Roman" w:cstheme="minorHAnsi"/>
          <w:lang w:val="en-GB" w:eastAsia="en-GB"/>
        </w:rPr>
        <w:lastRenderedPageBreak/>
        <w:t xml:space="preserve">housing delivery, and above all </w:t>
      </w:r>
      <w:r w:rsidRPr="005A6BD4">
        <w:rPr>
          <w:rFonts w:eastAsia="Times New Roman" w:cstheme="minorHAnsi"/>
          <w:lang w:val="en-GB" w:eastAsia="en-GB"/>
        </w:rPr>
        <w:t>the reality of high-rise public housing living</w:t>
      </w:r>
      <w:r w:rsidR="006659B4">
        <w:rPr>
          <w:rFonts w:eastAsia="Times New Roman" w:cstheme="minorHAnsi"/>
          <w:lang w:val="en-GB" w:eastAsia="en-GB"/>
        </w:rPr>
        <w:t>,</w:t>
      </w:r>
      <w:r w:rsidRPr="005A6BD4">
        <w:rPr>
          <w:rFonts w:eastAsia="Times New Roman" w:cstheme="minorHAnsi"/>
          <w:lang w:val="en-GB" w:eastAsia="en-GB"/>
        </w:rPr>
        <w:t xml:space="preserve"> as the city continues to build taller housing for its growing population</w:t>
      </w:r>
      <w:r w:rsidR="00B477CD">
        <w:rPr>
          <w:rStyle w:val="FootnoteReference"/>
          <w:rFonts w:eastAsia="Times New Roman" w:cstheme="minorHAnsi"/>
          <w:lang w:val="en-GB" w:eastAsia="en-GB"/>
        </w:rPr>
        <w:footnoteReference w:id="3"/>
      </w:r>
      <w:r w:rsidRPr="005A6BD4">
        <w:rPr>
          <w:rFonts w:eastAsia="Times New Roman" w:cstheme="minorHAnsi"/>
          <w:lang w:val="en-GB" w:eastAsia="en-GB"/>
        </w:rPr>
        <w:t>. </w:t>
      </w:r>
    </w:p>
    <w:p w:rsidR="005D414D" w:rsidRDefault="005A6BD4" w:rsidP="005D414D">
      <w:pPr>
        <w:pStyle w:val="ListParagraph"/>
        <w:ind w:left="2250"/>
      </w:pPr>
      <w:r>
        <w:t>.</w:t>
      </w:r>
    </w:p>
    <w:p w:rsidR="005D414D" w:rsidRDefault="005D414D" w:rsidP="005D414D">
      <w:pPr>
        <w:pStyle w:val="ListParagraph"/>
        <w:ind w:left="2250"/>
      </w:pPr>
    </w:p>
    <w:p w:rsidR="005D414D" w:rsidRDefault="005D414D" w:rsidP="005D414D">
      <w:pPr>
        <w:pStyle w:val="ListParagraph"/>
        <w:ind w:left="2250"/>
      </w:pPr>
    </w:p>
    <w:p w:rsidR="00A01AE6" w:rsidRDefault="00A01AE6" w:rsidP="00A01AE6">
      <w:pPr>
        <w:pStyle w:val="ListParagraph"/>
        <w:numPr>
          <w:ilvl w:val="0"/>
          <w:numId w:val="10"/>
        </w:numPr>
      </w:pPr>
      <w:r w:rsidRPr="009B1B76">
        <w:rPr>
          <w:highlight w:val="green"/>
        </w:rPr>
        <w:t>Measures</w:t>
      </w:r>
      <w:r>
        <w:t xml:space="preserve"> of Affordability</w:t>
      </w:r>
    </w:p>
    <w:p w:rsidR="00A01AE6" w:rsidRDefault="00A01AE6" w:rsidP="00A01AE6">
      <w:pPr>
        <w:pStyle w:val="ListParagraph"/>
        <w:numPr>
          <w:ilvl w:val="1"/>
          <w:numId w:val="10"/>
        </w:numPr>
        <w:ind w:left="2250"/>
      </w:pPr>
      <w:r>
        <w:t>Income/Repayment/Cost of housing Units</w:t>
      </w:r>
    </w:p>
    <w:p w:rsidR="00B81F76" w:rsidRDefault="00B81F76" w:rsidP="00B81F76">
      <w:pPr>
        <w:pStyle w:val="ListParagraph"/>
        <w:ind w:left="2250"/>
      </w:pPr>
    </w:p>
    <w:p w:rsidR="00B81F76" w:rsidRPr="00B81F76" w:rsidRDefault="00B277BC" w:rsidP="00B81F76">
      <w:pPr>
        <w:pStyle w:val="ListParagraph"/>
        <w:ind w:left="2250"/>
        <w:rPr>
          <w:rStyle w:val="Strong"/>
          <w:b w:val="0"/>
          <w:iCs/>
        </w:rPr>
      </w:pPr>
      <w:r>
        <w:rPr>
          <w:rStyle w:val="Emphasis"/>
          <w:i w:val="0"/>
        </w:rPr>
        <w:t>For</w:t>
      </w:r>
      <w:r w:rsidR="00B81F76" w:rsidRPr="00B81F76">
        <w:rPr>
          <w:rStyle w:val="Emphasis"/>
          <w:i w:val="0"/>
        </w:rPr>
        <w:t xml:space="preserve"> new </w:t>
      </w:r>
      <w:r w:rsidR="006C6306">
        <w:rPr>
          <w:rStyle w:val="Emphasis"/>
          <w:i w:val="0"/>
        </w:rPr>
        <w:t>Housing and Develo</w:t>
      </w:r>
      <w:r w:rsidR="0089181A">
        <w:rPr>
          <w:rStyle w:val="Emphasis"/>
          <w:i w:val="0"/>
        </w:rPr>
        <w:t>pment Board-</w:t>
      </w:r>
      <w:r w:rsidR="00B81F76" w:rsidRPr="00B81F76">
        <w:rPr>
          <w:rStyle w:val="Emphasis"/>
          <w:i w:val="0"/>
        </w:rPr>
        <w:t>HDB flats</w:t>
      </w:r>
      <w:r>
        <w:rPr>
          <w:rStyle w:val="Emphasis"/>
          <w:i w:val="0"/>
        </w:rPr>
        <w:t xml:space="preserve"> </w:t>
      </w:r>
      <w:r w:rsidR="0089181A">
        <w:rPr>
          <w:rStyle w:val="Emphasis"/>
          <w:i w:val="0"/>
        </w:rPr>
        <w:t>(Minister</w:t>
      </w:r>
      <w:r w:rsidR="00B81F76">
        <w:rPr>
          <w:rStyle w:val="Emphasis"/>
          <w:i w:val="0"/>
        </w:rPr>
        <w:t xml:space="preserve"> </w:t>
      </w:r>
      <w:proofErr w:type="spellStart"/>
      <w:r w:rsidR="00B81F76">
        <w:rPr>
          <w:rStyle w:val="Emphasis"/>
          <w:i w:val="0"/>
        </w:rPr>
        <w:t>Mah</w:t>
      </w:r>
      <w:proofErr w:type="spellEnd"/>
      <w:r w:rsidR="00B81F76">
        <w:rPr>
          <w:rStyle w:val="Emphasis"/>
          <w:i w:val="0"/>
        </w:rPr>
        <w:t xml:space="preserve"> </w:t>
      </w:r>
      <w:r w:rsidR="0089181A">
        <w:rPr>
          <w:rStyle w:val="Emphasis"/>
          <w:i w:val="0"/>
        </w:rPr>
        <w:t xml:space="preserve">Bow Tan </w:t>
      </w:r>
      <w:r w:rsidR="00B81F76">
        <w:rPr>
          <w:rStyle w:val="Emphasis"/>
          <w:i w:val="0"/>
        </w:rPr>
        <w:t>stated in a parliamentary speech</w:t>
      </w:r>
      <w:r w:rsidR="0089181A">
        <w:rPr>
          <w:rStyle w:val="Emphasis"/>
          <w:i w:val="0"/>
        </w:rPr>
        <w:t xml:space="preserve">) </w:t>
      </w:r>
      <w:r w:rsidR="0089181A" w:rsidRPr="00B81F76">
        <w:rPr>
          <w:rStyle w:val="Emphasis"/>
          <w:i w:val="0"/>
        </w:rPr>
        <w:t>in</w:t>
      </w:r>
      <w:r w:rsidR="00B81F76" w:rsidRPr="00B81F76">
        <w:rPr>
          <w:rStyle w:val="Emphasis"/>
          <w:i w:val="0"/>
        </w:rPr>
        <w:t xml:space="preserve"> non-mature estates, the </w:t>
      </w:r>
      <w:r w:rsidR="00B81F76" w:rsidRPr="00B81F76">
        <w:rPr>
          <w:rStyle w:val="Strong"/>
          <w:b w:val="0"/>
          <w:iCs/>
        </w:rPr>
        <w:t>average mortgage</w:t>
      </w:r>
      <w:r w:rsidR="00B81F76" w:rsidRPr="00B81F76">
        <w:rPr>
          <w:rStyle w:val="Emphasis"/>
          <w:i w:val="0"/>
        </w:rPr>
        <w:t xml:space="preserve"> payment in 2009 was </w:t>
      </w:r>
      <w:r w:rsidR="006C6306">
        <w:rPr>
          <w:rStyle w:val="Emphasis"/>
          <w:i w:val="0"/>
        </w:rPr>
        <w:t>22% of monthly household income.</w:t>
      </w:r>
      <w:r w:rsidR="00B81F76" w:rsidRPr="00B81F76">
        <w:rPr>
          <w:rStyle w:val="Emphasis"/>
          <w:i w:val="0"/>
        </w:rPr>
        <w:t xml:space="preserve"> This is 1-2% marginally higher than the level seen in the last decade, but well within the affordability benchmark of 30-35%. This also means that about 80% of Singaporean new flat buyers are able to service their housing loans entirely from</w:t>
      </w:r>
      <w:r w:rsidR="006C6306">
        <w:rPr>
          <w:rStyle w:val="Emphasis"/>
          <w:i w:val="0"/>
        </w:rPr>
        <w:t xml:space="preserve"> their </w:t>
      </w:r>
      <w:r w:rsidR="0089181A">
        <w:rPr>
          <w:rStyle w:val="Emphasis"/>
          <w:i w:val="0"/>
        </w:rPr>
        <w:t xml:space="preserve">Central </w:t>
      </w:r>
      <w:r w:rsidR="006C6306">
        <w:rPr>
          <w:rStyle w:val="Emphasis"/>
          <w:i w:val="0"/>
        </w:rPr>
        <w:t>Provident Fund</w:t>
      </w:r>
      <w:r w:rsidR="0089181A">
        <w:rPr>
          <w:rStyle w:val="Emphasis"/>
          <w:i w:val="0"/>
        </w:rPr>
        <w:t>-</w:t>
      </w:r>
      <w:hyperlink r:id="rId9" w:tooltip="Central Provident Fund" w:history="1">
        <w:r w:rsidR="00B81F76" w:rsidRPr="0089181A">
          <w:rPr>
            <w:rStyle w:val="Hyperlink"/>
            <w:i/>
            <w:iCs/>
            <w:color w:val="262626" w:themeColor="text1" w:themeTint="D9"/>
          </w:rPr>
          <w:t>CPF</w:t>
        </w:r>
      </w:hyperlink>
      <w:r w:rsidR="00B81F76" w:rsidRPr="00B81F76">
        <w:rPr>
          <w:rStyle w:val="Emphasis"/>
          <w:i w:val="0"/>
        </w:rPr>
        <w:t xml:space="preserve"> without a</w:t>
      </w:r>
      <w:r w:rsidR="0089181A">
        <w:rPr>
          <w:rStyle w:val="Emphasis"/>
          <w:i w:val="0"/>
        </w:rPr>
        <w:t>ny cash payment. T</w:t>
      </w:r>
      <w:r w:rsidR="0089181A">
        <w:rPr>
          <w:rStyle w:val="Strong"/>
          <w:b w:val="0"/>
          <w:iCs/>
        </w:rPr>
        <w:t xml:space="preserve">his is a significant and </w:t>
      </w:r>
      <w:r w:rsidR="00B81F76" w:rsidRPr="00B81F76">
        <w:rPr>
          <w:rStyle w:val="Strong"/>
          <w:b w:val="0"/>
          <w:iCs/>
        </w:rPr>
        <w:t>real measure of affordability</w:t>
      </w:r>
      <w:r w:rsidR="00B81F76">
        <w:rPr>
          <w:rStyle w:val="FootnoteReference"/>
          <w:bCs/>
          <w:iCs/>
        </w:rPr>
        <w:footnoteReference w:id="4"/>
      </w:r>
      <w:r w:rsidR="00B81F76" w:rsidRPr="00B81F76">
        <w:rPr>
          <w:rStyle w:val="Strong"/>
          <w:b w:val="0"/>
          <w:iCs/>
        </w:rPr>
        <w:t>.</w:t>
      </w:r>
    </w:p>
    <w:p w:rsidR="00B81F76" w:rsidRDefault="00B81F76" w:rsidP="00B81F76">
      <w:pPr>
        <w:pStyle w:val="ListParagraph"/>
        <w:ind w:left="2250"/>
      </w:pPr>
    </w:p>
    <w:p w:rsidR="00A01AE6" w:rsidRDefault="00A01AE6" w:rsidP="00A01AE6">
      <w:pPr>
        <w:pStyle w:val="ListParagraph"/>
        <w:numPr>
          <w:ilvl w:val="1"/>
          <w:numId w:val="10"/>
        </w:numPr>
        <w:ind w:left="2250"/>
      </w:pPr>
      <w:r>
        <w:t>Any State level Definition of Low-Income Housing</w:t>
      </w:r>
    </w:p>
    <w:p w:rsidR="00C4521C" w:rsidRDefault="00C4521C" w:rsidP="00C4521C">
      <w:pPr>
        <w:pStyle w:val="ListParagraph"/>
        <w:ind w:left="2250"/>
      </w:pPr>
    </w:p>
    <w:p w:rsidR="00C4521C" w:rsidRDefault="00C4521C" w:rsidP="00C4521C">
      <w:pPr>
        <w:pStyle w:val="ListParagraph"/>
        <w:ind w:left="2250"/>
      </w:pPr>
      <w:r>
        <w:t>HOUSING is a perennial hot topic of discussion, especially in Singapore where it touches almost every segment of society - from the low to middle income in public housing to the middle and higher income</w:t>
      </w:r>
      <w:r w:rsidR="0089181A">
        <w:t xml:space="preserve"> for housing in general</w:t>
      </w:r>
      <w:r>
        <w:t>.</w:t>
      </w:r>
    </w:p>
    <w:p w:rsidR="00C4521C" w:rsidRDefault="00C4521C" w:rsidP="00C4521C">
      <w:pPr>
        <w:pStyle w:val="ListParagraph"/>
        <w:ind w:left="2250"/>
      </w:pPr>
    </w:p>
    <w:p w:rsidR="00C4521C" w:rsidRDefault="00C4521C" w:rsidP="00C4521C">
      <w:pPr>
        <w:pStyle w:val="ListParagraph"/>
        <w:ind w:left="2250"/>
      </w:pPr>
      <w:r>
        <w:t>As with most countries, Singapore's housing provision system is rooted in its historical and political backgrou</w:t>
      </w:r>
      <w:r w:rsidR="0089181A">
        <w:t>nd. D</w:t>
      </w:r>
      <w:r w:rsidR="00A55719">
        <w:t>uring the initial years of</w:t>
      </w:r>
      <w:r w:rsidR="0089181A">
        <w:t xml:space="preserve"> </w:t>
      </w:r>
      <w:r>
        <w:t>independence</w:t>
      </w:r>
      <w:r w:rsidR="00A55719">
        <w:t xml:space="preserve"> (from Malaysia in 1965)</w:t>
      </w:r>
      <w:r>
        <w:t xml:space="preserve">, the Government adopted a </w:t>
      </w:r>
      <w:r w:rsidR="0089181A">
        <w:t>subsidized</w:t>
      </w:r>
      <w:r>
        <w:t xml:space="preserve"> rent system to resolve an urgent housing shortage.</w:t>
      </w:r>
    </w:p>
    <w:p w:rsidR="00C4521C" w:rsidRDefault="00C4521C" w:rsidP="00C4521C">
      <w:pPr>
        <w:pStyle w:val="ListParagraph"/>
        <w:ind w:left="2250"/>
      </w:pPr>
    </w:p>
    <w:p w:rsidR="00C4521C" w:rsidRPr="00C4521C" w:rsidRDefault="00A55719" w:rsidP="00C4521C">
      <w:pPr>
        <w:pStyle w:val="ListParagraph"/>
        <w:ind w:left="2250"/>
      </w:pPr>
      <w:r>
        <w:t>However,</w:t>
      </w:r>
      <w:r w:rsidR="00C4521C" w:rsidRPr="00C4521C">
        <w:t xml:space="preserve"> it was decided that home ownership was a better strategy as it was thought that citizens would be more likely to sink their roots in the country if they owned a stake in it. This marks the first deviation from public housing systems in countries with a strong welfare focus, such as the United Kingdom and the Netherlands. By the late 1970s, when many welfare countries were starting to revamp their public housing systems due to economic reasons, public home ownership was thriving in Singapore because of the development of the resale market for public housing.</w:t>
      </w:r>
    </w:p>
    <w:p w:rsidR="00C4521C" w:rsidRDefault="00C4521C" w:rsidP="00C4521C">
      <w:pPr>
        <w:pStyle w:val="ListParagraph"/>
        <w:ind w:left="2250"/>
      </w:pPr>
    </w:p>
    <w:p w:rsidR="00C4521C" w:rsidRDefault="00C4521C" w:rsidP="00C4521C">
      <w:pPr>
        <w:pStyle w:val="ListParagraph"/>
        <w:ind w:left="2250"/>
      </w:pPr>
      <w:r w:rsidRPr="00C4521C">
        <w:lastRenderedPageBreak/>
        <w:t>Over the last few decades, the HDB has become the dominant housing provider, accounting for the homes of 82 per cent of the population.</w:t>
      </w:r>
      <w:r>
        <w:rPr>
          <w:rStyle w:val="FootnoteReference"/>
        </w:rPr>
        <w:footnoteReference w:id="5"/>
      </w:r>
      <w:r w:rsidRPr="00C4521C">
        <w:rPr>
          <w:rFonts w:ascii="Times New Roman" w:eastAsia="Times New Roman" w:hAnsi="Times New Roman" w:cs="Times New Roman"/>
          <w:sz w:val="24"/>
          <w:szCs w:val="24"/>
          <w:lang w:val="en-GB" w:eastAsia="en-GB"/>
        </w:rPr>
        <w:t xml:space="preserve"> </w:t>
      </w:r>
    </w:p>
    <w:p w:rsidR="00B5432C" w:rsidRDefault="00B5432C" w:rsidP="00B5432C">
      <w:pPr>
        <w:pStyle w:val="ListParagraph"/>
        <w:ind w:left="2250"/>
      </w:pPr>
    </w:p>
    <w:p w:rsidR="00A01AE6" w:rsidRDefault="00A01AE6" w:rsidP="00A01AE6">
      <w:pPr>
        <w:pStyle w:val="ListParagraph"/>
        <w:numPr>
          <w:ilvl w:val="0"/>
          <w:numId w:val="10"/>
        </w:numPr>
      </w:pPr>
      <w:r>
        <w:t>Housing Finance Institutional Framework:</w:t>
      </w:r>
    </w:p>
    <w:p w:rsidR="009B1B76" w:rsidRDefault="009B1B76" w:rsidP="009B1B76">
      <w:pPr>
        <w:pStyle w:val="ListParagraph"/>
        <w:ind w:left="1080"/>
      </w:pPr>
    </w:p>
    <w:p w:rsidR="00A01AE6" w:rsidRDefault="00A01AE6" w:rsidP="00A01AE6">
      <w:pPr>
        <w:pStyle w:val="ListParagraph"/>
        <w:numPr>
          <w:ilvl w:val="1"/>
          <w:numId w:val="10"/>
        </w:numPr>
        <w:ind w:left="2250"/>
      </w:pPr>
      <w:r w:rsidRPr="009B1C60">
        <w:t xml:space="preserve">Housing </w:t>
      </w:r>
      <w:r>
        <w:t>Finance by Commercial B</w:t>
      </w:r>
      <w:r w:rsidRPr="009B1C60">
        <w:t>anks</w:t>
      </w:r>
    </w:p>
    <w:p w:rsidR="00721444" w:rsidRDefault="00721444" w:rsidP="00721444">
      <w:pPr>
        <w:pStyle w:val="ListParagraph"/>
        <w:ind w:left="2250"/>
      </w:pPr>
    </w:p>
    <w:p w:rsidR="00721444" w:rsidRDefault="00670F90" w:rsidP="00A80E3F">
      <w:pPr>
        <w:pStyle w:val="ListParagraph"/>
        <w:ind w:left="2268"/>
      </w:pPr>
      <w:r>
        <w:t xml:space="preserve">Ninety percent of housing is provided through Housing Development Board. Hence the commercial banks </w:t>
      </w:r>
      <w:r w:rsidR="00E023CB">
        <w:t>have very</w:t>
      </w:r>
      <w:r>
        <w:t xml:space="preserve"> minimum role to play in this regards.</w:t>
      </w:r>
    </w:p>
    <w:p w:rsidR="00A80E3F" w:rsidRDefault="00A80E3F" w:rsidP="00A80E3F">
      <w:pPr>
        <w:pStyle w:val="ListParagraph"/>
        <w:ind w:left="2268"/>
      </w:pPr>
    </w:p>
    <w:p w:rsidR="00A80E3F" w:rsidRDefault="00A80E3F" w:rsidP="00A80E3F">
      <w:pPr>
        <w:pStyle w:val="ListParagraph"/>
        <w:ind w:left="2268"/>
      </w:pPr>
    </w:p>
    <w:p w:rsidR="00A01AE6" w:rsidRDefault="00A01AE6" w:rsidP="00A01AE6">
      <w:pPr>
        <w:pStyle w:val="ListParagraph"/>
        <w:numPr>
          <w:ilvl w:val="1"/>
          <w:numId w:val="10"/>
        </w:numPr>
        <w:ind w:left="2250"/>
      </w:pPr>
      <w:r>
        <w:t>Specialized HFIs-Public sector</w:t>
      </w:r>
    </w:p>
    <w:p w:rsidR="000B53BB" w:rsidRDefault="000B53BB" w:rsidP="000B53BB">
      <w:pPr>
        <w:pStyle w:val="ListParagraph"/>
        <w:ind w:left="2250"/>
      </w:pPr>
    </w:p>
    <w:p w:rsidR="00A07E4A" w:rsidRDefault="00A07E4A" w:rsidP="000B53BB">
      <w:pPr>
        <w:pStyle w:val="ListParagraph"/>
        <w:ind w:left="2250"/>
      </w:pPr>
      <w:r>
        <w:t xml:space="preserve">In Singapore the government plays </w:t>
      </w:r>
      <w:r w:rsidR="00057722">
        <w:t>extremely</w:t>
      </w:r>
      <w:r>
        <w:t xml:space="preserve"> important role for providing houses to Singaporeans. </w:t>
      </w:r>
      <w:r w:rsidR="00057722">
        <w:t>The Government, through Housing Development Board (HDB) provi</w:t>
      </w:r>
      <w:r w:rsidR="00E023CB">
        <w:t>des 90 percent of houses in the</w:t>
      </w:r>
      <w:r w:rsidR="00057722">
        <w:t xml:space="preserve"> city-state</w:t>
      </w:r>
      <w:r w:rsidR="00E023CB">
        <w:t xml:space="preserve"> of Singapore</w:t>
      </w:r>
      <w:r w:rsidR="00057722">
        <w:t xml:space="preserve">. </w:t>
      </w:r>
      <w:r w:rsidR="00EA703A">
        <w:t xml:space="preserve">The government is not only the largest housing developer, but also the largest mortgage provider through HDB. The government provided 60.1 billion Singaporean dollars (SGD) in the year 2000, which was much </w:t>
      </w:r>
      <w:r w:rsidR="00ED692F">
        <w:t>higher than the total housing loans of the private sector which was SGD 38.6 billion. HDB provides housing loans to all eligible buyers of public housing. In 2005, the loan ceiling was 90 percent of the purchase price or market valuation. The maximum loan maturity is 65 years minus the applicant</w:t>
      </w:r>
      <w:r w:rsidR="00C4521C">
        <w:t>’</w:t>
      </w:r>
      <w:r w:rsidR="00ED692F">
        <w:t>s age or 30 years whichever is shorter. Borrower can use provident fund saving to repay the loans.</w:t>
      </w:r>
      <w:r w:rsidR="00ED692F">
        <w:rPr>
          <w:rStyle w:val="FootnoteReference"/>
        </w:rPr>
        <w:footnoteReference w:id="6"/>
      </w:r>
    </w:p>
    <w:p w:rsidR="000B53BB" w:rsidRDefault="000B53BB" w:rsidP="000B53BB">
      <w:pPr>
        <w:pStyle w:val="ListParagraph"/>
        <w:ind w:left="2250"/>
      </w:pPr>
    </w:p>
    <w:p w:rsidR="00A01AE6" w:rsidRDefault="00A01AE6" w:rsidP="00A01AE6">
      <w:pPr>
        <w:pStyle w:val="ListParagraph"/>
        <w:numPr>
          <w:ilvl w:val="1"/>
          <w:numId w:val="10"/>
        </w:numPr>
        <w:ind w:left="2250"/>
      </w:pPr>
      <w:r>
        <w:t>Specialized HFIs- Private  Sector</w:t>
      </w:r>
    </w:p>
    <w:p w:rsidR="000B53BB" w:rsidRDefault="000B53BB" w:rsidP="000B53BB">
      <w:pPr>
        <w:pStyle w:val="ListParagraph"/>
        <w:ind w:left="2250"/>
      </w:pPr>
    </w:p>
    <w:p w:rsidR="00DB0911" w:rsidRDefault="00DB0911" w:rsidP="000B53BB">
      <w:pPr>
        <w:pStyle w:val="ListParagraph"/>
        <w:ind w:left="2250"/>
      </w:pPr>
      <w:r>
        <w:t>In Singapore the role of private sector in providing housing is very</w:t>
      </w:r>
      <w:r w:rsidR="00965C55">
        <w:t xml:space="preserve"> minimal, as houses from low, middle, and </w:t>
      </w:r>
      <w:r>
        <w:t>upper middle clas</w:t>
      </w:r>
      <w:r w:rsidR="00BF47F5">
        <w:t>s</w:t>
      </w:r>
      <w:r>
        <w:t>es are mainly provided by government owned Housing Development Board</w:t>
      </w:r>
      <w:r w:rsidR="00965C55">
        <w:t>-HDB</w:t>
      </w:r>
      <w:r>
        <w:t xml:space="preserve"> of Singapore</w:t>
      </w:r>
      <w:r w:rsidR="00BF47F5">
        <w:t>. Only the higher income and middle income people</w:t>
      </w:r>
      <w:r w:rsidR="00965C55">
        <w:t>,</w:t>
      </w:r>
      <w:r w:rsidR="00BF47F5">
        <w:t xml:space="preserve"> aspiring to upgrade to private property</w:t>
      </w:r>
      <w:r w:rsidR="00965C55">
        <w:t>,</w:t>
      </w:r>
      <w:r w:rsidR="00BF47F5">
        <w:t xml:space="preserve"> are catered by private sector housing provider.</w:t>
      </w:r>
    </w:p>
    <w:p w:rsidR="00BF47F5" w:rsidRDefault="00BF47F5" w:rsidP="000B53BB">
      <w:pPr>
        <w:pStyle w:val="ListParagraph"/>
        <w:ind w:left="2250"/>
      </w:pPr>
    </w:p>
    <w:p w:rsidR="00BF47F5" w:rsidRDefault="00BF47F5" w:rsidP="000B53BB">
      <w:pPr>
        <w:pStyle w:val="ListParagraph"/>
        <w:ind w:left="2250"/>
      </w:pPr>
    </w:p>
    <w:p w:rsidR="00A01AE6" w:rsidRDefault="00A01AE6" w:rsidP="00A01AE6">
      <w:pPr>
        <w:pStyle w:val="ListParagraph"/>
        <w:numPr>
          <w:ilvl w:val="1"/>
          <w:numId w:val="10"/>
        </w:numPr>
        <w:ind w:left="2250"/>
      </w:pPr>
      <w:r>
        <w:t>Housing Microfinance Institutions</w:t>
      </w:r>
    </w:p>
    <w:p w:rsidR="00B5432C" w:rsidRDefault="00B5432C" w:rsidP="00B5432C">
      <w:pPr>
        <w:pStyle w:val="ListParagraph"/>
        <w:ind w:left="2250"/>
      </w:pPr>
    </w:p>
    <w:p w:rsidR="000B53BB" w:rsidRDefault="00D267C4" w:rsidP="00B5432C">
      <w:pPr>
        <w:pStyle w:val="ListParagraph"/>
        <w:ind w:left="2250"/>
      </w:pPr>
      <w:r>
        <w:t xml:space="preserve">In Singapore, as about 90% of housing </w:t>
      </w:r>
      <w:proofErr w:type="gramStart"/>
      <w:r>
        <w:t>are</w:t>
      </w:r>
      <w:proofErr w:type="gramEnd"/>
      <w:r>
        <w:t xml:space="preserve"> provided by the Housing Development Board, and as the government keeps eyes on affordability of all </w:t>
      </w:r>
      <w:r>
        <w:lastRenderedPageBreak/>
        <w:t xml:space="preserve">segment of </w:t>
      </w:r>
      <w:r w:rsidR="00965C55">
        <w:t xml:space="preserve">society, </w:t>
      </w:r>
      <w:r>
        <w:t>there remains no scope for housing microfinance institutions in the country.</w:t>
      </w:r>
    </w:p>
    <w:p w:rsidR="00D267C4" w:rsidRDefault="00D267C4" w:rsidP="00D267C4">
      <w:pPr>
        <w:pStyle w:val="ListParagraph"/>
        <w:tabs>
          <w:tab w:val="left" w:pos="4469"/>
        </w:tabs>
        <w:ind w:left="2250"/>
      </w:pPr>
    </w:p>
    <w:p w:rsidR="00A01AE6" w:rsidRDefault="00A01AE6" w:rsidP="00A01AE6">
      <w:pPr>
        <w:pStyle w:val="ListParagraph"/>
        <w:numPr>
          <w:ilvl w:val="0"/>
          <w:numId w:val="10"/>
        </w:numPr>
      </w:pPr>
      <w:r>
        <w:t xml:space="preserve">Housing Finance Options for LIG </w:t>
      </w:r>
    </w:p>
    <w:p w:rsidR="00A01AE6" w:rsidRDefault="00965C55" w:rsidP="00A01AE6">
      <w:pPr>
        <w:pStyle w:val="ListParagraph"/>
        <w:ind w:left="1080"/>
      </w:pPr>
      <w:proofErr w:type="gramStart"/>
      <w:r>
        <w:t>Mainly HDB.</w:t>
      </w:r>
      <w:proofErr w:type="gramEnd"/>
    </w:p>
    <w:p w:rsidR="00C26D4D" w:rsidRDefault="00C26D4D" w:rsidP="00A01AE6">
      <w:pPr>
        <w:pStyle w:val="ListParagraph"/>
        <w:ind w:left="1080"/>
      </w:pPr>
    </w:p>
    <w:p w:rsidR="00C26D4D" w:rsidRDefault="00C26D4D" w:rsidP="00C26D4D">
      <w:pPr>
        <w:pStyle w:val="ListParagraph"/>
        <w:ind w:left="1080"/>
      </w:pPr>
    </w:p>
    <w:p w:rsidR="00A01AE6" w:rsidRDefault="00A01AE6" w:rsidP="00A01AE6">
      <w:pPr>
        <w:pStyle w:val="ListParagraph"/>
        <w:numPr>
          <w:ilvl w:val="0"/>
          <w:numId w:val="10"/>
        </w:numPr>
      </w:pPr>
      <w:r>
        <w:t>Regulatory Framework:</w:t>
      </w:r>
    </w:p>
    <w:p w:rsidR="00A80E3F" w:rsidRDefault="00A80E3F" w:rsidP="00A80E3F">
      <w:pPr>
        <w:pStyle w:val="ListParagraph"/>
        <w:spacing w:after="0" w:line="240" w:lineRule="auto"/>
        <w:ind w:left="1080"/>
        <w:rPr>
          <w:rFonts w:ascii="Calibri" w:eastAsia="Times New Roman" w:hAnsi="Calibri" w:cs="Calibri"/>
          <w:sz w:val="24"/>
          <w:szCs w:val="24"/>
          <w:lang w:val="en-GB" w:eastAsia="en-GB"/>
        </w:rPr>
      </w:pPr>
    </w:p>
    <w:p w:rsidR="00A80E3F" w:rsidRPr="00A80E3F" w:rsidRDefault="00A80E3F" w:rsidP="00A80E3F">
      <w:pPr>
        <w:pStyle w:val="ListParagraph"/>
        <w:spacing w:after="0" w:line="240" w:lineRule="auto"/>
        <w:ind w:left="1080"/>
        <w:rPr>
          <w:rFonts w:ascii="Times New Roman" w:eastAsia="Times New Roman" w:hAnsi="Times New Roman" w:cs="Times New Roman"/>
          <w:sz w:val="24"/>
          <w:szCs w:val="24"/>
          <w:lang w:val="en-GB" w:eastAsia="en-GB"/>
        </w:rPr>
      </w:pPr>
      <w:r w:rsidRPr="00A80E3F">
        <w:rPr>
          <w:rFonts w:ascii="Calibri" w:eastAsia="Times New Roman" w:hAnsi="Calibri" w:cs="Calibri"/>
          <w:sz w:val="24"/>
          <w:szCs w:val="24"/>
          <w:lang w:val="en-GB" w:eastAsia="en-GB"/>
        </w:rPr>
        <w:t>The Ministry of National Development (MND) regulate</w:t>
      </w:r>
      <w:r>
        <w:rPr>
          <w:rFonts w:ascii="Calibri" w:eastAsia="Times New Roman" w:hAnsi="Calibri" w:cs="Calibri"/>
          <w:sz w:val="24"/>
          <w:szCs w:val="24"/>
          <w:lang w:val="en-GB" w:eastAsia="en-GB"/>
        </w:rPr>
        <w:t>s</w:t>
      </w:r>
      <w:r w:rsidRPr="00A80E3F">
        <w:rPr>
          <w:rFonts w:ascii="Calibri" w:eastAsia="Times New Roman" w:hAnsi="Calibri" w:cs="Calibri"/>
          <w:sz w:val="24"/>
          <w:szCs w:val="24"/>
          <w:lang w:val="en-GB" w:eastAsia="en-GB"/>
        </w:rPr>
        <w:t xml:space="preserve"> the local rea</w:t>
      </w:r>
      <w:r w:rsidR="00965C55">
        <w:rPr>
          <w:rFonts w:ascii="Calibri" w:eastAsia="Times New Roman" w:hAnsi="Calibri" w:cs="Calibri"/>
          <w:sz w:val="24"/>
          <w:szCs w:val="24"/>
          <w:lang w:val="en-GB" w:eastAsia="en-GB"/>
        </w:rPr>
        <w:t>l estate industry and seeks public feedback on its policies and regulations.</w:t>
      </w:r>
    </w:p>
    <w:p w:rsidR="00A80E3F" w:rsidRPr="00A80E3F" w:rsidRDefault="00A80E3F" w:rsidP="00A80E3F">
      <w:pPr>
        <w:pStyle w:val="ListParagraph"/>
        <w:spacing w:after="0" w:line="240" w:lineRule="auto"/>
        <w:ind w:left="1080"/>
        <w:rPr>
          <w:rFonts w:ascii="Times New Roman" w:eastAsia="Times New Roman" w:hAnsi="Times New Roman" w:cs="Times New Roman"/>
          <w:sz w:val="24"/>
          <w:szCs w:val="24"/>
          <w:lang w:val="en-GB" w:eastAsia="en-GB"/>
        </w:rPr>
      </w:pPr>
      <w:r w:rsidRPr="00A80E3F">
        <w:rPr>
          <w:rFonts w:ascii="Calibri" w:eastAsia="Times New Roman" w:hAnsi="Calibri" w:cs="Calibri"/>
          <w:sz w:val="24"/>
          <w:szCs w:val="24"/>
          <w:lang w:val="en-GB" w:eastAsia="en-GB"/>
        </w:rPr>
        <w:t> </w:t>
      </w:r>
    </w:p>
    <w:p w:rsidR="00A80E3F" w:rsidRPr="00A80E3F" w:rsidRDefault="00A80E3F" w:rsidP="00A80E3F">
      <w:pPr>
        <w:pStyle w:val="ListParagraph"/>
        <w:spacing w:after="0" w:line="240" w:lineRule="auto"/>
        <w:ind w:left="1080"/>
        <w:rPr>
          <w:rFonts w:ascii="Times New Roman" w:eastAsia="Times New Roman" w:hAnsi="Times New Roman" w:cs="Times New Roman"/>
          <w:sz w:val="24"/>
          <w:szCs w:val="24"/>
          <w:lang w:val="en-GB" w:eastAsia="en-GB"/>
        </w:rPr>
      </w:pPr>
      <w:r w:rsidRPr="00A80E3F">
        <w:rPr>
          <w:rFonts w:ascii="Calibri" w:eastAsia="Times New Roman" w:hAnsi="Calibri" w:cs="Calibri"/>
          <w:sz w:val="24"/>
          <w:szCs w:val="24"/>
          <w:lang w:val="en-GB" w:eastAsia="en-GB"/>
        </w:rPr>
        <w:t xml:space="preserve">According to MND, there are about 1,700 real estate agencies licensed by the Inland Revenue Authority of Singapore (IRAS) and an estimated 25,000 to 30,000 real estate agents in the market. </w:t>
      </w:r>
      <w:r>
        <w:rPr>
          <w:rFonts w:ascii="Calibri" w:eastAsia="Times New Roman" w:hAnsi="Calibri" w:cs="Calibri"/>
          <w:sz w:val="24"/>
          <w:szCs w:val="24"/>
          <w:lang w:val="en-GB" w:eastAsia="en-GB"/>
        </w:rPr>
        <w:t>All these are needed to be regulated by MND.</w:t>
      </w:r>
      <w:r w:rsidR="00C734CC">
        <w:rPr>
          <w:rStyle w:val="FootnoteReference"/>
          <w:rFonts w:ascii="Calibri" w:eastAsia="Times New Roman" w:hAnsi="Calibri" w:cs="Calibri"/>
          <w:sz w:val="24"/>
          <w:szCs w:val="24"/>
          <w:lang w:val="en-GB" w:eastAsia="en-GB"/>
        </w:rPr>
        <w:footnoteReference w:id="7"/>
      </w:r>
    </w:p>
    <w:p w:rsidR="00C26D4D" w:rsidRDefault="00C26D4D" w:rsidP="00C26D4D">
      <w:pPr>
        <w:pStyle w:val="ListParagraph"/>
        <w:ind w:left="1080"/>
      </w:pPr>
    </w:p>
    <w:p w:rsidR="00C26D4D" w:rsidRDefault="00C734CC" w:rsidP="00C26D4D">
      <w:pPr>
        <w:pStyle w:val="ListParagraph"/>
        <w:ind w:left="1080"/>
      </w:pPr>
      <w:r>
        <w:t xml:space="preserve">The Ministry of National Development (MND) </w:t>
      </w:r>
      <w:r w:rsidR="00965C55">
        <w:t xml:space="preserve">has </w:t>
      </w:r>
      <w:r>
        <w:t>set up a new statutory board - the Co</w:t>
      </w:r>
      <w:r w:rsidR="00E93FD1">
        <w:t xml:space="preserve">uncil for Estate Agencies (CEA). </w:t>
      </w:r>
      <w:r>
        <w:t>The CEA implement</w:t>
      </w:r>
      <w:r w:rsidR="00167D58">
        <w:t>s</w:t>
      </w:r>
      <w:r>
        <w:t xml:space="preserve"> a new framework to regulate the industry, through the enhanced licensing of estate agencies, registration of estate agents, new regulations on the conduct of estate agency work, discipline and dispute resolution mechanisms, and public education. </w:t>
      </w:r>
      <w:r>
        <w:br/>
      </w:r>
      <w:r>
        <w:br/>
      </w:r>
      <w:r w:rsidR="00D71FAD">
        <w:t xml:space="preserve">Lately the </w:t>
      </w:r>
      <w:r>
        <w:t xml:space="preserve">CEA </w:t>
      </w:r>
      <w:r w:rsidR="00E93FD1">
        <w:t>has</w:t>
      </w:r>
      <w:r>
        <w:t xml:space="preserve"> take</w:t>
      </w:r>
      <w:r w:rsidR="00E93FD1">
        <w:t>n</w:t>
      </w:r>
      <w:r>
        <w:t xml:space="preserve"> over the Inland Revenue Authority of Singapore’s (IRAS’) current role in licensing real estate agencies.</w:t>
      </w:r>
      <w:r w:rsidR="00E93FD1">
        <w:rPr>
          <w:rStyle w:val="FootnoteReference"/>
        </w:rPr>
        <w:footnoteReference w:id="8"/>
      </w:r>
      <w:r>
        <w:t xml:space="preserve"> </w:t>
      </w:r>
    </w:p>
    <w:p w:rsidR="00E93FD1" w:rsidRDefault="00E93FD1" w:rsidP="00C26D4D">
      <w:pPr>
        <w:pStyle w:val="ListParagraph"/>
        <w:ind w:left="1080"/>
      </w:pPr>
    </w:p>
    <w:p w:rsidR="00E93FD1" w:rsidRDefault="00E93FD1" w:rsidP="00C26D4D">
      <w:pPr>
        <w:pStyle w:val="ListParagraph"/>
        <w:ind w:left="1080"/>
      </w:pPr>
    </w:p>
    <w:p w:rsidR="00A01AE6" w:rsidRDefault="00A01AE6" w:rsidP="00A01AE6">
      <w:pPr>
        <w:pStyle w:val="ListParagraph"/>
        <w:numPr>
          <w:ilvl w:val="0"/>
          <w:numId w:val="10"/>
        </w:numPr>
      </w:pPr>
      <w:r>
        <w:t>A summary of prevailing regulatory regime for housing fina</w:t>
      </w:r>
      <w:r w:rsidR="00974DDA">
        <w:t>n</w:t>
      </w:r>
      <w:r w:rsidR="00D71FAD">
        <w:t>ce ( Central B</w:t>
      </w:r>
      <w:r>
        <w:t xml:space="preserve">ank or a special agency), presence of Prudential regulations, Mortgage law, Mortgage Guidelines </w:t>
      </w:r>
      <w:proofErr w:type="spellStart"/>
      <w:r>
        <w:t>etc</w:t>
      </w:r>
      <w:proofErr w:type="spellEnd"/>
      <w:r>
        <w:t xml:space="preserve"> Constraints in Growth of Housing Finance for LIG</w:t>
      </w:r>
    </w:p>
    <w:p w:rsidR="00A01AE6" w:rsidRDefault="00A01AE6" w:rsidP="00A01AE6">
      <w:pPr>
        <w:pStyle w:val="ListParagraph"/>
        <w:ind w:left="1080"/>
      </w:pPr>
      <w:r>
        <w:t>General review</w:t>
      </w:r>
      <w:r w:rsidR="00FA56D6">
        <w:t>:</w:t>
      </w:r>
    </w:p>
    <w:p w:rsidR="00FA56D6" w:rsidRDefault="00FA56D6" w:rsidP="00A01AE6">
      <w:pPr>
        <w:pStyle w:val="ListParagraph"/>
        <w:ind w:left="1080"/>
      </w:pPr>
    </w:p>
    <w:p w:rsidR="00167D58" w:rsidRDefault="00167D58" w:rsidP="00A01AE6">
      <w:pPr>
        <w:pStyle w:val="ListParagraph"/>
        <w:ind w:left="1080"/>
      </w:pPr>
      <w:r>
        <w:t xml:space="preserve">The </w:t>
      </w:r>
      <w:r w:rsidRPr="00167D58">
        <w:rPr>
          <w:bCs/>
        </w:rPr>
        <w:t>Monetary Authority of Singapore</w:t>
      </w:r>
      <w:r>
        <w:t xml:space="preserve"> (MAS) is </w:t>
      </w:r>
      <w:r w:rsidRPr="00167D58">
        <w:t>Singapore</w:t>
      </w:r>
      <w:r>
        <w:t xml:space="preserve">'s </w:t>
      </w:r>
      <w:r w:rsidRPr="00167D58">
        <w:t>central bank</w:t>
      </w:r>
      <w:r>
        <w:t xml:space="preserve"> and </w:t>
      </w:r>
      <w:r w:rsidRPr="00167D58">
        <w:t>financial regulatory</w:t>
      </w:r>
      <w:r w:rsidR="00D71FAD">
        <w:t xml:space="preserve"> authority. It administers </w:t>
      </w:r>
      <w:r>
        <w:t xml:space="preserve">various statutes pertaining to money, banking, insurance, securities and the financial sector in general, as well as </w:t>
      </w:r>
      <w:r w:rsidRPr="00167D58">
        <w:t>currency issuance</w:t>
      </w:r>
      <w:r>
        <w:t>.</w:t>
      </w:r>
    </w:p>
    <w:p w:rsidR="00C26D4D" w:rsidRDefault="00C26D4D" w:rsidP="00A01AE6">
      <w:pPr>
        <w:pStyle w:val="ListParagraph"/>
        <w:ind w:left="1080"/>
      </w:pPr>
    </w:p>
    <w:p w:rsidR="00167D58" w:rsidRPr="00167D58" w:rsidRDefault="00167D58" w:rsidP="00167D58">
      <w:pPr>
        <w:spacing w:before="100" w:beforeAutospacing="1" w:after="100" w:afterAutospacing="1" w:line="240" w:lineRule="auto"/>
        <w:ind w:left="1134"/>
        <w:rPr>
          <w:rFonts w:ascii="Times New Roman" w:eastAsia="Times New Roman" w:hAnsi="Times New Roman" w:cs="Times New Roman"/>
          <w:sz w:val="24"/>
          <w:szCs w:val="24"/>
          <w:lang w:val="en-GB" w:eastAsia="en-GB"/>
        </w:rPr>
      </w:pPr>
      <w:r w:rsidRPr="00167D58">
        <w:rPr>
          <w:rFonts w:ascii="Times New Roman" w:eastAsia="Times New Roman" w:hAnsi="Times New Roman" w:cs="Times New Roman"/>
          <w:sz w:val="24"/>
          <w:szCs w:val="24"/>
          <w:lang w:val="en-GB" w:eastAsia="en-GB"/>
        </w:rPr>
        <w:t>The MAS was set up in 1971 to oversee various monetary functions associated with banking as well as finance. Before its establishment, monetary functions were performed by government departments and agencies.</w:t>
      </w:r>
    </w:p>
    <w:p w:rsidR="00167D58" w:rsidRPr="00167D58" w:rsidRDefault="00167D58" w:rsidP="00167D58">
      <w:pPr>
        <w:spacing w:before="100" w:beforeAutospacing="1" w:after="100" w:afterAutospacing="1" w:line="240" w:lineRule="auto"/>
        <w:ind w:left="1134"/>
        <w:rPr>
          <w:rFonts w:ascii="Times New Roman" w:eastAsia="Times New Roman" w:hAnsi="Times New Roman" w:cs="Times New Roman"/>
          <w:sz w:val="24"/>
          <w:szCs w:val="24"/>
          <w:lang w:val="en-GB" w:eastAsia="en-GB"/>
        </w:rPr>
      </w:pPr>
      <w:r w:rsidRPr="00167D58">
        <w:rPr>
          <w:rFonts w:ascii="Times New Roman" w:eastAsia="Times New Roman" w:hAnsi="Times New Roman" w:cs="Times New Roman"/>
          <w:sz w:val="24"/>
          <w:szCs w:val="24"/>
          <w:lang w:val="en-GB" w:eastAsia="en-GB"/>
        </w:rPr>
        <w:lastRenderedPageBreak/>
        <w:t>As Singapore progressed, the demands of an increasingly complex banking and monetary environmen</w:t>
      </w:r>
      <w:r w:rsidR="00D71FAD">
        <w:rPr>
          <w:rFonts w:ascii="Times New Roman" w:eastAsia="Times New Roman" w:hAnsi="Times New Roman" w:cs="Times New Roman"/>
          <w:sz w:val="24"/>
          <w:szCs w:val="24"/>
          <w:lang w:val="en-GB" w:eastAsia="en-GB"/>
        </w:rPr>
        <w:t xml:space="preserve">t necessitated streamlining regulatory </w:t>
      </w:r>
      <w:r w:rsidRPr="00167D58">
        <w:rPr>
          <w:rFonts w:ascii="Times New Roman" w:eastAsia="Times New Roman" w:hAnsi="Times New Roman" w:cs="Times New Roman"/>
          <w:sz w:val="24"/>
          <w:szCs w:val="24"/>
          <w:lang w:val="en-GB" w:eastAsia="en-GB"/>
        </w:rPr>
        <w:t xml:space="preserve">functions to facilitate the development of a more dynamic and coherent policy on monetary matters. Therefore in 1970, the </w:t>
      </w:r>
      <w:r w:rsidRPr="00D71FAD">
        <w:rPr>
          <w:rFonts w:ascii="Times New Roman" w:eastAsia="Times New Roman" w:hAnsi="Times New Roman" w:cs="Times New Roman"/>
          <w:color w:val="404040" w:themeColor="text1" w:themeTint="BF"/>
          <w:sz w:val="24"/>
          <w:szCs w:val="24"/>
          <w:lang w:val="en-GB" w:eastAsia="en-GB"/>
        </w:rPr>
        <w:t xml:space="preserve">Parliament of Singapore </w:t>
      </w:r>
      <w:r w:rsidRPr="00167D58">
        <w:rPr>
          <w:rFonts w:ascii="Times New Roman" w:eastAsia="Times New Roman" w:hAnsi="Times New Roman" w:cs="Times New Roman"/>
          <w:sz w:val="24"/>
          <w:szCs w:val="24"/>
          <w:lang w:val="en-GB" w:eastAsia="en-GB"/>
        </w:rPr>
        <w:t>passed the Monetary Authority of Singapore Act leading to the formation of MAS on 1 January 1971. The act gives MAS the authority to regulate all elements of monetary, banking and financial aspects of Singapore.</w:t>
      </w:r>
      <w:r>
        <w:rPr>
          <w:rStyle w:val="FootnoteReference"/>
          <w:rFonts w:ascii="Times New Roman" w:eastAsia="Times New Roman" w:hAnsi="Times New Roman" w:cs="Times New Roman"/>
          <w:sz w:val="24"/>
          <w:szCs w:val="24"/>
          <w:lang w:val="en-GB" w:eastAsia="en-GB"/>
        </w:rPr>
        <w:footnoteReference w:id="9"/>
      </w:r>
    </w:p>
    <w:p w:rsidR="00167D58" w:rsidRDefault="00167D58" w:rsidP="00A01AE6">
      <w:pPr>
        <w:pStyle w:val="ListParagraph"/>
        <w:ind w:left="1080"/>
      </w:pPr>
    </w:p>
    <w:p w:rsidR="00C26D4D" w:rsidRDefault="00C26D4D" w:rsidP="00A01AE6">
      <w:pPr>
        <w:pStyle w:val="ListParagraph"/>
        <w:ind w:left="1080"/>
      </w:pPr>
    </w:p>
    <w:p w:rsidR="00A01AE6" w:rsidRDefault="00A01AE6" w:rsidP="00A01AE6">
      <w:pPr>
        <w:pStyle w:val="ListParagraph"/>
        <w:numPr>
          <w:ilvl w:val="0"/>
          <w:numId w:val="10"/>
        </w:numPr>
      </w:pPr>
      <w:r w:rsidRPr="00025F25">
        <w:t>Fiscal Support and Subsidy Programs</w:t>
      </w:r>
      <w:r>
        <w:t>:</w:t>
      </w:r>
    </w:p>
    <w:p w:rsidR="00907516" w:rsidRDefault="00907516" w:rsidP="00907516">
      <w:pPr>
        <w:pStyle w:val="ListParagraph"/>
        <w:ind w:left="1080"/>
      </w:pPr>
    </w:p>
    <w:p w:rsidR="008A5B1C" w:rsidRDefault="00EC4CD5" w:rsidP="00907516">
      <w:pPr>
        <w:pStyle w:val="ListParagraph"/>
        <w:ind w:left="1080"/>
      </w:pPr>
      <w:r>
        <w:t>Si</w:t>
      </w:r>
      <w:r w:rsidR="00167D58">
        <w:t>n</w:t>
      </w:r>
      <w:r w:rsidR="00D71FAD">
        <w:t>gapore has elaborate subsidy Program through Housing D</w:t>
      </w:r>
      <w:r>
        <w:t>evelopment Board.</w:t>
      </w:r>
    </w:p>
    <w:p w:rsidR="00CD3AEF" w:rsidRDefault="00CD3AEF" w:rsidP="00907516">
      <w:pPr>
        <w:pStyle w:val="ListParagraph"/>
        <w:ind w:left="1080"/>
      </w:pPr>
    </w:p>
    <w:p w:rsidR="00AE3878" w:rsidRDefault="00A01AE6" w:rsidP="00A01AE6">
      <w:pPr>
        <w:pStyle w:val="ListParagraph"/>
        <w:numPr>
          <w:ilvl w:val="0"/>
          <w:numId w:val="10"/>
        </w:numPr>
      </w:pPr>
      <w:r w:rsidRPr="00CD3AEF">
        <w:rPr>
          <w:highlight w:val="green"/>
        </w:rPr>
        <w:t>Any</w:t>
      </w:r>
      <w:r>
        <w:t xml:space="preserve"> State level subsidy program Like Interest Rate Subsidy, T</w:t>
      </w:r>
      <w:r w:rsidR="003F56E1">
        <w:t>a</w:t>
      </w:r>
      <w:r>
        <w:t>x Incentive,</w:t>
      </w:r>
      <w:r w:rsidR="00592992">
        <w:t xml:space="preserve"> </w:t>
      </w:r>
      <w:r>
        <w:t xml:space="preserve">Credit </w:t>
      </w:r>
      <w:r w:rsidR="00592992">
        <w:t>Guarantee</w:t>
      </w:r>
    </w:p>
    <w:p w:rsidR="00AE3878" w:rsidRDefault="00D71FAD" w:rsidP="00AE3878">
      <w:pPr>
        <w:pStyle w:val="ListParagraph"/>
        <w:ind w:left="1080"/>
      </w:pPr>
      <w:r>
        <w:t>HDB is a</w:t>
      </w:r>
      <w:r w:rsidR="006E441B">
        <w:t xml:space="preserve"> State A</w:t>
      </w:r>
      <w:r>
        <w:t>gency</w:t>
      </w:r>
    </w:p>
    <w:p w:rsidR="00A01AE6" w:rsidRDefault="00A01AE6" w:rsidP="00AE3878">
      <w:pPr>
        <w:pStyle w:val="ListParagraph"/>
        <w:ind w:left="1080"/>
      </w:pPr>
      <w:r>
        <w:t xml:space="preserve">  </w:t>
      </w:r>
    </w:p>
    <w:p w:rsidR="00A01AE6" w:rsidRDefault="00A01AE6" w:rsidP="00A01AE6">
      <w:pPr>
        <w:pStyle w:val="ListParagraph"/>
        <w:numPr>
          <w:ilvl w:val="0"/>
          <w:numId w:val="10"/>
        </w:numPr>
      </w:pPr>
      <w:r w:rsidRPr="00CD3AEF">
        <w:rPr>
          <w:highlight w:val="green"/>
        </w:rPr>
        <w:t>Community</w:t>
      </w:r>
      <w:r>
        <w:t xml:space="preserve"> Based Programs for LIH</w:t>
      </w:r>
    </w:p>
    <w:p w:rsidR="00A01AE6" w:rsidRDefault="00A01AE6" w:rsidP="00A01AE6">
      <w:pPr>
        <w:pStyle w:val="ListParagraph"/>
        <w:numPr>
          <w:ilvl w:val="1"/>
          <w:numId w:val="10"/>
        </w:numPr>
        <w:ind w:left="2250"/>
      </w:pPr>
      <w:r w:rsidRPr="000E56DE">
        <w:t>State Level Program</w:t>
      </w:r>
      <w:r w:rsidR="006E441B">
        <w:t>: NA</w:t>
      </w:r>
    </w:p>
    <w:p w:rsidR="00A01AE6" w:rsidRDefault="00A01AE6" w:rsidP="00A01AE6">
      <w:pPr>
        <w:pStyle w:val="ListParagraph"/>
        <w:numPr>
          <w:ilvl w:val="1"/>
          <w:numId w:val="10"/>
        </w:numPr>
        <w:ind w:left="2250"/>
      </w:pPr>
      <w:r w:rsidRPr="000E56DE">
        <w:t>NGO Initiatives</w:t>
      </w:r>
      <w:r w:rsidR="006E441B">
        <w:t>: NA</w:t>
      </w:r>
    </w:p>
    <w:p w:rsidR="00A01AE6" w:rsidRDefault="00A01AE6" w:rsidP="00A01AE6">
      <w:pPr>
        <w:pStyle w:val="ListParagraph"/>
        <w:ind w:left="1080"/>
      </w:pPr>
    </w:p>
    <w:p w:rsidR="00A01AE6" w:rsidRDefault="00A01AE6" w:rsidP="00A01AE6">
      <w:pPr>
        <w:pStyle w:val="ListParagraph"/>
        <w:numPr>
          <w:ilvl w:val="0"/>
          <w:numId w:val="10"/>
        </w:numPr>
      </w:pPr>
      <w:r w:rsidRPr="001B08B2">
        <w:t>Lessons</w:t>
      </w:r>
      <w:r>
        <w:t xml:space="preserve"> Learned and way forward: Discuss the constraints in growth of LIH finance, steps needed </w:t>
      </w:r>
      <w:r w:rsidR="00C71EBE">
        <w:t>to address them and way forward:</w:t>
      </w:r>
    </w:p>
    <w:p w:rsidR="00A01AE6" w:rsidRDefault="00E43198">
      <w:r>
        <w:t>09-10-2012</w:t>
      </w:r>
      <w:bookmarkStart w:id="0" w:name="_GoBack"/>
      <w:bookmarkEnd w:id="0"/>
    </w:p>
    <w:sectPr w:rsidR="00A01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C0" w:rsidRDefault="009472C0" w:rsidP="000B15AE">
      <w:pPr>
        <w:spacing w:after="0" w:line="240" w:lineRule="auto"/>
      </w:pPr>
      <w:r>
        <w:separator/>
      </w:r>
    </w:p>
  </w:endnote>
  <w:endnote w:type="continuationSeparator" w:id="0">
    <w:p w:rsidR="009472C0" w:rsidRDefault="009472C0" w:rsidP="000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C0" w:rsidRDefault="009472C0" w:rsidP="000B15AE">
      <w:pPr>
        <w:spacing w:after="0" w:line="240" w:lineRule="auto"/>
      </w:pPr>
      <w:r>
        <w:separator/>
      </w:r>
    </w:p>
  </w:footnote>
  <w:footnote w:type="continuationSeparator" w:id="0">
    <w:p w:rsidR="009472C0" w:rsidRDefault="009472C0" w:rsidP="000B15AE">
      <w:pPr>
        <w:spacing w:after="0" w:line="240" w:lineRule="auto"/>
      </w:pPr>
      <w:r>
        <w:continuationSeparator/>
      </w:r>
    </w:p>
  </w:footnote>
  <w:footnote w:id="1">
    <w:p w:rsidR="00AE0D22" w:rsidRDefault="00AE0D22">
      <w:pPr>
        <w:pStyle w:val="FootnoteText"/>
      </w:pPr>
      <w:r>
        <w:rPr>
          <w:rStyle w:val="FootnoteReference"/>
        </w:rPr>
        <w:footnoteRef/>
      </w:r>
      <w:r>
        <w:t xml:space="preserve"> CIA- World Fact Book</w:t>
      </w:r>
    </w:p>
  </w:footnote>
  <w:footnote w:id="2">
    <w:p w:rsidR="00617AE8" w:rsidRDefault="00617AE8">
      <w:pPr>
        <w:pStyle w:val="FootnoteText"/>
      </w:pPr>
      <w:r>
        <w:rPr>
          <w:rStyle w:val="FootnoteReference"/>
        </w:rPr>
        <w:footnoteRef/>
      </w:r>
      <w:r>
        <w:t xml:space="preserve"> </w:t>
      </w:r>
      <w:r w:rsidR="00AE0D22" w:rsidRPr="002974CE">
        <w:t>http://en.wikipedia.org/wiki/List_of_countries_by_GDP_%28nominal%29_per_capita</w:t>
      </w:r>
    </w:p>
  </w:footnote>
  <w:footnote w:id="3">
    <w:p w:rsidR="00B477CD" w:rsidRDefault="00B477CD">
      <w:pPr>
        <w:pStyle w:val="FootnoteText"/>
      </w:pPr>
      <w:r>
        <w:rPr>
          <w:rStyle w:val="FootnoteReference"/>
        </w:rPr>
        <w:footnoteRef/>
      </w:r>
      <w:r>
        <w:t xml:space="preserve"> </w:t>
      </w:r>
      <w:r w:rsidRPr="00B477CD">
        <w:t>http://www.globalurban.org/GUDMag07Vol3Iss1/Yuen.htm</w:t>
      </w:r>
    </w:p>
  </w:footnote>
  <w:footnote w:id="4">
    <w:p w:rsidR="00B81F76" w:rsidRDefault="00B81F76">
      <w:pPr>
        <w:pStyle w:val="FootnoteText"/>
      </w:pPr>
      <w:r>
        <w:rPr>
          <w:rStyle w:val="FootnoteReference"/>
        </w:rPr>
        <w:footnoteRef/>
      </w:r>
      <w:r>
        <w:t xml:space="preserve"> </w:t>
      </w:r>
      <w:r w:rsidRPr="00B81F76">
        <w:t>http://keithyip.com/2010/03/26/how-to-measure-housing-affordability-in-singapore/</w:t>
      </w:r>
    </w:p>
  </w:footnote>
  <w:footnote w:id="5">
    <w:p w:rsidR="00C4521C" w:rsidRDefault="00C4521C">
      <w:pPr>
        <w:pStyle w:val="FootnoteText"/>
      </w:pPr>
      <w:r>
        <w:rPr>
          <w:rStyle w:val="FootnoteReference"/>
        </w:rPr>
        <w:footnoteRef/>
      </w:r>
      <w:r>
        <w:t xml:space="preserve"> </w:t>
      </w:r>
      <w:r w:rsidRPr="00C4521C">
        <w:t>http://business.asiaone.com/Business/My%2BMoney/Property/Story/A1Story20100301-201587.html</w:t>
      </w:r>
    </w:p>
  </w:footnote>
  <w:footnote w:id="6">
    <w:p w:rsidR="00ED692F" w:rsidRDefault="00ED692F">
      <w:pPr>
        <w:pStyle w:val="FootnoteText"/>
      </w:pPr>
      <w:r>
        <w:rPr>
          <w:rStyle w:val="FootnoteReference"/>
        </w:rPr>
        <w:footnoteRef/>
      </w:r>
      <w:r>
        <w:t xml:space="preserve"> Housing for all- Challenges of affordability, accessibility and sustainability, by UN-Habitat</w:t>
      </w:r>
    </w:p>
  </w:footnote>
  <w:footnote w:id="7">
    <w:p w:rsidR="00C734CC" w:rsidRDefault="00C734CC">
      <w:pPr>
        <w:pStyle w:val="FootnoteText"/>
      </w:pPr>
      <w:r>
        <w:rPr>
          <w:rStyle w:val="FootnoteReference"/>
        </w:rPr>
        <w:footnoteRef/>
      </w:r>
      <w:r>
        <w:t xml:space="preserve"> </w:t>
      </w:r>
      <w:r w:rsidRPr="00C734CC">
        <w:t>http://www.iproperty.com.sg/news/1128/Singapore-government-to-regulate-real-estate-industry</w:t>
      </w:r>
    </w:p>
  </w:footnote>
  <w:footnote w:id="8">
    <w:p w:rsidR="00E93FD1" w:rsidRDefault="00E93FD1">
      <w:pPr>
        <w:pStyle w:val="FootnoteText"/>
      </w:pPr>
      <w:r>
        <w:rPr>
          <w:rStyle w:val="FootnoteReference"/>
        </w:rPr>
        <w:footnoteRef/>
      </w:r>
      <w:r>
        <w:t xml:space="preserve"> </w:t>
      </w:r>
      <w:r w:rsidRPr="00E93FD1">
        <w:t>http://www.ricsasia.org/newsDetail.php?id=240&amp;regionID=0</w:t>
      </w:r>
    </w:p>
  </w:footnote>
  <w:footnote w:id="9">
    <w:p w:rsidR="00167D58" w:rsidRDefault="00167D58">
      <w:pPr>
        <w:pStyle w:val="FootnoteText"/>
      </w:pPr>
      <w:r>
        <w:rPr>
          <w:rStyle w:val="FootnoteReference"/>
        </w:rPr>
        <w:footnoteRef/>
      </w:r>
      <w:r>
        <w:t xml:space="preserve"> </w:t>
      </w:r>
      <w:r w:rsidRPr="00167D58">
        <w:t>http://en.wikipedia.org/wiki/Monetary_Authority_of_Singapore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125"/>
    <w:multiLevelType w:val="multilevel"/>
    <w:tmpl w:val="351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0A3A"/>
    <w:multiLevelType w:val="multilevel"/>
    <w:tmpl w:val="F01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652E9"/>
    <w:multiLevelType w:val="multilevel"/>
    <w:tmpl w:val="6E203E0E"/>
    <w:lvl w:ilvl="0">
      <w:start w:val="1"/>
      <w:numFmt w:val="decimal"/>
      <w:lvlText w:val="%1."/>
      <w:lvlJc w:val="left"/>
      <w:pPr>
        <w:ind w:left="1080" w:hanging="36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03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710" w:hanging="1440"/>
      </w:pPr>
      <w:rPr>
        <w:rFonts w:hint="default"/>
      </w:rPr>
    </w:lvl>
  </w:abstractNum>
  <w:abstractNum w:abstractNumId="3">
    <w:nsid w:val="204A5E24"/>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C3AB1"/>
    <w:multiLevelType w:val="multilevel"/>
    <w:tmpl w:val="A70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4079B"/>
    <w:multiLevelType w:val="multilevel"/>
    <w:tmpl w:val="05B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53AA9"/>
    <w:multiLevelType w:val="hybridMultilevel"/>
    <w:tmpl w:val="785CBEF2"/>
    <w:lvl w:ilvl="0" w:tplc="DBC4A4DE">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886068D"/>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03FBD"/>
    <w:multiLevelType w:val="hybridMultilevel"/>
    <w:tmpl w:val="E92A89F6"/>
    <w:lvl w:ilvl="0" w:tplc="DBC4A4DE">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5A924C73"/>
    <w:multiLevelType w:val="multilevel"/>
    <w:tmpl w:val="DF6268F8"/>
    <w:lvl w:ilvl="0">
      <w:start w:val="1"/>
      <w:numFmt w:val="decimal"/>
      <w:lvlText w:val="%1."/>
      <w:lvlJc w:val="left"/>
      <w:pPr>
        <w:ind w:left="117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10">
    <w:nsid w:val="78465A74"/>
    <w:multiLevelType w:val="hybridMultilevel"/>
    <w:tmpl w:val="D25CC1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78535DF5"/>
    <w:multiLevelType w:val="hybridMultilevel"/>
    <w:tmpl w:val="7F6CC346"/>
    <w:lvl w:ilvl="0" w:tplc="01349096">
      <w:start w:val="1"/>
      <w:numFmt w:val="decimal"/>
      <w:lvlText w:val="%1."/>
      <w:lvlJc w:val="left"/>
      <w:pPr>
        <w:tabs>
          <w:tab w:val="num" w:pos="720"/>
        </w:tabs>
        <w:ind w:left="720" w:hanging="360"/>
      </w:pPr>
    </w:lvl>
    <w:lvl w:ilvl="1" w:tplc="689A669E" w:tentative="1">
      <w:start w:val="1"/>
      <w:numFmt w:val="decimal"/>
      <w:lvlText w:val="%2."/>
      <w:lvlJc w:val="left"/>
      <w:pPr>
        <w:tabs>
          <w:tab w:val="num" w:pos="1440"/>
        </w:tabs>
        <w:ind w:left="1440" w:hanging="360"/>
      </w:pPr>
    </w:lvl>
    <w:lvl w:ilvl="2" w:tplc="4450286C">
      <w:start w:val="1"/>
      <w:numFmt w:val="decimal"/>
      <w:lvlText w:val="%3."/>
      <w:lvlJc w:val="left"/>
      <w:pPr>
        <w:tabs>
          <w:tab w:val="num" w:pos="2160"/>
        </w:tabs>
        <w:ind w:left="2160" w:hanging="360"/>
      </w:pPr>
    </w:lvl>
    <w:lvl w:ilvl="3" w:tplc="FE2A4D40" w:tentative="1">
      <w:start w:val="1"/>
      <w:numFmt w:val="decimal"/>
      <w:lvlText w:val="%4."/>
      <w:lvlJc w:val="left"/>
      <w:pPr>
        <w:tabs>
          <w:tab w:val="num" w:pos="2880"/>
        </w:tabs>
        <w:ind w:left="2880" w:hanging="360"/>
      </w:pPr>
    </w:lvl>
    <w:lvl w:ilvl="4" w:tplc="2106635C" w:tentative="1">
      <w:start w:val="1"/>
      <w:numFmt w:val="decimal"/>
      <w:lvlText w:val="%5."/>
      <w:lvlJc w:val="left"/>
      <w:pPr>
        <w:tabs>
          <w:tab w:val="num" w:pos="3600"/>
        </w:tabs>
        <w:ind w:left="3600" w:hanging="360"/>
      </w:pPr>
    </w:lvl>
    <w:lvl w:ilvl="5" w:tplc="46AC9490" w:tentative="1">
      <w:start w:val="1"/>
      <w:numFmt w:val="decimal"/>
      <w:lvlText w:val="%6."/>
      <w:lvlJc w:val="left"/>
      <w:pPr>
        <w:tabs>
          <w:tab w:val="num" w:pos="4320"/>
        </w:tabs>
        <w:ind w:left="4320" w:hanging="360"/>
      </w:pPr>
    </w:lvl>
    <w:lvl w:ilvl="6" w:tplc="FC4EF824" w:tentative="1">
      <w:start w:val="1"/>
      <w:numFmt w:val="decimal"/>
      <w:lvlText w:val="%7."/>
      <w:lvlJc w:val="left"/>
      <w:pPr>
        <w:tabs>
          <w:tab w:val="num" w:pos="5040"/>
        </w:tabs>
        <w:ind w:left="5040" w:hanging="360"/>
      </w:pPr>
    </w:lvl>
    <w:lvl w:ilvl="7" w:tplc="1374C362" w:tentative="1">
      <w:start w:val="1"/>
      <w:numFmt w:val="decimal"/>
      <w:lvlText w:val="%8."/>
      <w:lvlJc w:val="left"/>
      <w:pPr>
        <w:tabs>
          <w:tab w:val="num" w:pos="5760"/>
        </w:tabs>
        <w:ind w:left="5760" w:hanging="360"/>
      </w:pPr>
    </w:lvl>
    <w:lvl w:ilvl="8" w:tplc="00FAE24C" w:tentative="1">
      <w:start w:val="1"/>
      <w:numFmt w:val="decimal"/>
      <w:lvlText w:val="%9."/>
      <w:lvlJc w:val="left"/>
      <w:pPr>
        <w:tabs>
          <w:tab w:val="num" w:pos="6480"/>
        </w:tabs>
        <w:ind w:left="6480" w:hanging="360"/>
      </w:pPr>
    </w:lvl>
  </w:abstractNum>
  <w:num w:numId="1">
    <w:abstractNumId w:val="9"/>
  </w:num>
  <w:num w:numId="2">
    <w:abstractNumId w:val="10"/>
  </w:num>
  <w:num w:numId="3">
    <w:abstractNumId w:val="6"/>
  </w:num>
  <w:num w:numId="4">
    <w:abstractNumId w:val="8"/>
  </w:num>
  <w:num w:numId="5">
    <w:abstractNumId w:val="1"/>
  </w:num>
  <w:num w:numId="6">
    <w:abstractNumId w:val="4"/>
  </w:num>
  <w:num w:numId="7">
    <w:abstractNumId w:val="0"/>
  </w:num>
  <w:num w:numId="8">
    <w:abstractNumId w:val="3"/>
  </w:num>
  <w:num w:numId="9">
    <w:abstractNumId w:val="5"/>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9"/>
    <w:rsid w:val="000323DC"/>
    <w:rsid w:val="00037602"/>
    <w:rsid w:val="00041473"/>
    <w:rsid w:val="00056A46"/>
    <w:rsid w:val="00057722"/>
    <w:rsid w:val="00070223"/>
    <w:rsid w:val="00085AC6"/>
    <w:rsid w:val="000B15AE"/>
    <w:rsid w:val="000B53BB"/>
    <w:rsid w:val="0015379E"/>
    <w:rsid w:val="0016338E"/>
    <w:rsid w:val="00167957"/>
    <w:rsid w:val="00167D58"/>
    <w:rsid w:val="00186539"/>
    <w:rsid w:val="00191593"/>
    <w:rsid w:val="00193F0C"/>
    <w:rsid w:val="001B08B2"/>
    <w:rsid w:val="001C393C"/>
    <w:rsid w:val="00213D50"/>
    <w:rsid w:val="0021782E"/>
    <w:rsid w:val="00296D01"/>
    <w:rsid w:val="002A7610"/>
    <w:rsid w:val="002E7061"/>
    <w:rsid w:val="002F5AC9"/>
    <w:rsid w:val="003017AF"/>
    <w:rsid w:val="003C25F5"/>
    <w:rsid w:val="003D4F69"/>
    <w:rsid w:val="003F0A95"/>
    <w:rsid w:val="003F56E1"/>
    <w:rsid w:val="004751F7"/>
    <w:rsid w:val="004D1984"/>
    <w:rsid w:val="00592992"/>
    <w:rsid w:val="00597838"/>
    <w:rsid w:val="005A6BD4"/>
    <w:rsid w:val="005C07D6"/>
    <w:rsid w:val="005D414D"/>
    <w:rsid w:val="005F1DC9"/>
    <w:rsid w:val="00617AE8"/>
    <w:rsid w:val="00623EF4"/>
    <w:rsid w:val="006659B4"/>
    <w:rsid w:val="00670F90"/>
    <w:rsid w:val="0067344A"/>
    <w:rsid w:val="006828FE"/>
    <w:rsid w:val="006A5DE1"/>
    <w:rsid w:val="006C6306"/>
    <w:rsid w:val="006E3E18"/>
    <w:rsid w:val="006E441B"/>
    <w:rsid w:val="006F3158"/>
    <w:rsid w:val="00721444"/>
    <w:rsid w:val="00733B5E"/>
    <w:rsid w:val="007374F0"/>
    <w:rsid w:val="00752EB4"/>
    <w:rsid w:val="0076042D"/>
    <w:rsid w:val="00773FDF"/>
    <w:rsid w:val="0077735A"/>
    <w:rsid w:val="0079268E"/>
    <w:rsid w:val="007B232B"/>
    <w:rsid w:val="00823B79"/>
    <w:rsid w:val="00841939"/>
    <w:rsid w:val="0089181A"/>
    <w:rsid w:val="008A0C5B"/>
    <w:rsid w:val="008A5B1C"/>
    <w:rsid w:val="008B65E1"/>
    <w:rsid w:val="008C234E"/>
    <w:rsid w:val="00907516"/>
    <w:rsid w:val="009124D8"/>
    <w:rsid w:val="009472C0"/>
    <w:rsid w:val="00965C55"/>
    <w:rsid w:val="00974DDA"/>
    <w:rsid w:val="00992C3C"/>
    <w:rsid w:val="009A19F1"/>
    <w:rsid w:val="009A6595"/>
    <w:rsid w:val="009B1B76"/>
    <w:rsid w:val="00A01AE6"/>
    <w:rsid w:val="00A07E4A"/>
    <w:rsid w:val="00A55719"/>
    <w:rsid w:val="00A80E3F"/>
    <w:rsid w:val="00AC5F49"/>
    <w:rsid w:val="00AD3CB0"/>
    <w:rsid w:val="00AE0D22"/>
    <w:rsid w:val="00AE3878"/>
    <w:rsid w:val="00AE3F8C"/>
    <w:rsid w:val="00B157A9"/>
    <w:rsid w:val="00B277BC"/>
    <w:rsid w:val="00B477CD"/>
    <w:rsid w:val="00B5432C"/>
    <w:rsid w:val="00B81F76"/>
    <w:rsid w:val="00BA0862"/>
    <w:rsid w:val="00BF47F5"/>
    <w:rsid w:val="00C26D4D"/>
    <w:rsid w:val="00C4118F"/>
    <w:rsid w:val="00C4521C"/>
    <w:rsid w:val="00C71EBE"/>
    <w:rsid w:val="00C734CC"/>
    <w:rsid w:val="00CA6D99"/>
    <w:rsid w:val="00CD3AEF"/>
    <w:rsid w:val="00D267C4"/>
    <w:rsid w:val="00D44130"/>
    <w:rsid w:val="00D71FAD"/>
    <w:rsid w:val="00D72BA2"/>
    <w:rsid w:val="00D90706"/>
    <w:rsid w:val="00D93AA9"/>
    <w:rsid w:val="00DB0911"/>
    <w:rsid w:val="00E023CB"/>
    <w:rsid w:val="00E13ED1"/>
    <w:rsid w:val="00E43198"/>
    <w:rsid w:val="00E52102"/>
    <w:rsid w:val="00E63638"/>
    <w:rsid w:val="00E745EA"/>
    <w:rsid w:val="00E840D3"/>
    <w:rsid w:val="00E93FD1"/>
    <w:rsid w:val="00EA703A"/>
    <w:rsid w:val="00EC4CD5"/>
    <w:rsid w:val="00ED692F"/>
    <w:rsid w:val="00F30F7E"/>
    <w:rsid w:val="00F34115"/>
    <w:rsid w:val="00F5091C"/>
    <w:rsid w:val="00F748B5"/>
    <w:rsid w:val="00FA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 w:type="character" w:styleId="CommentReference">
    <w:name w:val="annotation reference"/>
    <w:basedOn w:val="DefaultParagraphFont"/>
    <w:uiPriority w:val="99"/>
    <w:semiHidden/>
    <w:unhideWhenUsed/>
    <w:rsid w:val="00A01AE6"/>
    <w:rPr>
      <w:sz w:val="16"/>
      <w:szCs w:val="16"/>
    </w:rPr>
  </w:style>
  <w:style w:type="paragraph" w:styleId="CommentText">
    <w:name w:val="annotation text"/>
    <w:basedOn w:val="Normal"/>
    <w:link w:val="CommentTextChar"/>
    <w:uiPriority w:val="99"/>
    <w:semiHidden/>
    <w:unhideWhenUsed/>
    <w:rsid w:val="00A01AE6"/>
    <w:pPr>
      <w:spacing w:line="240" w:lineRule="auto"/>
    </w:pPr>
    <w:rPr>
      <w:sz w:val="20"/>
      <w:szCs w:val="20"/>
    </w:rPr>
  </w:style>
  <w:style w:type="character" w:customStyle="1" w:styleId="CommentTextChar">
    <w:name w:val="Comment Text Char"/>
    <w:basedOn w:val="DefaultParagraphFont"/>
    <w:link w:val="CommentText"/>
    <w:uiPriority w:val="99"/>
    <w:semiHidden/>
    <w:rsid w:val="00A01AE6"/>
    <w:rPr>
      <w:sz w:val="20"/>
      <w:szCs w:val="20"/>
    </w:rPr>
  </w:style>
  <w:style w:type="character" w:styleId="Strong">
    <w:name w:val="Strong"/>
    <w:basedOn w:val="DefaultParagraphFont"/>
    <w:uiPriority w:val="22"/>
    <w:qFormat/>
    <w:rsid w:val="00B81F76"/>
    <w:rPr>
      <w:b/>
      <w:bCs/>
    </w:rPr>
  </w:style>
  <w:style w:type="paragraph" w:styleId="CommentSubject">
    <w:name w:val="annotation subject"/>
    <w:basedOn w:val="CommentText"/>
    <w:next w:val="CommentText"/>
    <w:link w:val="CommentSubjectChar"/>
    <w:uiPriority w:val="99"/>
    <w:semiHidden/>
    <w:unhideWhenUsed/>
    <w:rsid w:val="00B277BC"/>
    <w:rPr>
      <w:b/>
      <w:bCs/>
    </w:rPr>
  </w:style>
  <w:style w:type="character" w:customStyle="1" w:styleId="CommentSubjectChar">
    <w:name w:val="Comment Subject Char"/>
    <w:basedOn w:val="CommentTextChar"/>
    <w:link w:val="CommentSubject"/>
    <w:uiPriority w:val="99"/>
    <w:semiHidden/>
    <w:rsid w:val="00B277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 w:type="character" w:styleId="CommentReference">
    <w:name w:val="annotation reference"/>
    <w:basedOn w:val="DefaultParagraphFont"/>
    <w:uiPriority w:val="99"/>
    <w:semiHidden/>
    <w:unhideWhenUsed/>
    <w:rsid w:val="00A01AE6"/>
    <w:rPr>
      <w:sz w:val="16"/>
      <w:szCs w:val="16"/>
    </w:rPr>
  </w:style>
  <w:style w:type="paragraph" w:styleId="CommentText">
    <w:name w:val="annotation text"/>
    <w:basedOn w:val="Normal"/>
    <w:link w:val="CommentTextChar"/>
    <w:uiPriority w:val="99"/>
    <w:semiHidden/>
    <w:unhideWhenUsed/>
    <w:rsid w:val="00A01AE6"/>
    <w:pPr>
      <w:spacing w:line="240" w:lineRule="auto"/>
    </w:pPr>
    <w:rPr>
      <w:sz w:val="20"/>
      <w:szCs w:val="20"/>
    </w:rPr>
  </w:style>
  <w:style w:type="character" w:customStyle="1" w:styleId="CommentTextChar">
    <w:name w:val="Comment Text Char"/>
    <w:basedOn w:val="DefaultParagraphFont"/>
    <w:link w:val="CommentText"/>
    <w:uiPriority w:val="99"/>
    <w:semiHidden/>
    <w:rsid w:val="00A01AE6"/>
    <w:rPr>
      <w:sz w:val="20"/>
      <w:szCs w:val="20"/>
    </w:rPr>
  </w:style>
  <w:style w:type="character" w:styleId="Strong">
    <w:name w:val="Strong"/>
    <w:basedOn w:val="DefaultParagraphFont"/>
    <w:uiPriority w:val="22"/>
    <w:qFormat/>
    <w:rsid w:val="00B81F76"/>
    <w:rPr>
      <w:b/>
      <w:bCs/>
    </w:rPr>
  </w:style>
  <w:style w:type="paragraph" w:styleId="CommentSubject">
    <w:name w:val="annotation subject"/>
    <w:basedOn w:val="CommentText"/>
    <w:next w:val="CommentText"/>
    <w:link w:val="CommentSubjectChar"/>
    <w:uiPriority w:val="99"/>
    <w:semiHidden/>
    <w:unhideWhenUsed/>
    <w:rsid w:val="00B277BC"/>
    <w:rPr>
      <w:b/>
      <w:bCs/>
    </w:rPr>
  </w:style>
  <w:style w:type="character" w:customStyle="1" w:styleId="CommentSubjectChar">
    <w:name w:val="Comment Subject Char"/>
    <w:basedOn w:val="CommentTextChar"/>
    <w:link w:val="CommentSubject"/>
    <w:uiPriority w:val="99"/>
    <w:semiHidden/>
    <w:rsid w:val="00B27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7289">
      <w:bodyDiv w:val="1"/>
      <w:marLeft w:val="0"/>
      <w:marRight w:val="0"/>
      <w:marTop w:val="0"/>
      <w:marBottom w:val="0"/>
      <w:divBdr>
        <w:top w:val="none" w:sz="0" w:space="0" w:color="auto"/>
        <w:left w:val="none" w:sz="0" w:space="0" w:color="auto"/>
        <w:bottom w:val="none" w:sz="0" w:space="0" w:color="auto"/>
        <w:right w:val="none" w:sz="0" w:space="0" w:color="auto"/>
      </w:divBdr>
      <w:divsChild>
        <w:div w:id="1252661170">
          <w:marLeft w:val="547"/>
          <w:marRight w:val="0"/>
          <w:marTop w:val="192"/>
          <w:marBottom w:val="240"/>
          <w:divBdr>
            <w:top w:val="none" w:sz="0" w:space="0" w:color="auto"/>
            <w:left w:val="none" w:sz="0" w:space="0" w:color="auto"/>
            <w:bottom w:val="none" w:sz="0" w:space="0" w:color="auto"/>
            <w:right w:val="none" w:sz="0" w:space="0" w:color="auto"/>
          </w:divBdr>
        </w:div>
        <w:div w:id="607591562">
          <w:marLeft w:val="547"/>
          <w:marRight w:val="0"/>
          <w:marTop w:val="192"/>
          <w:marBottom w:val="240"/>
          <w:divBdr>
            <w:top w:val="none" w:sz="0" w:space="0" w:color="auto"/>
            <w:left w:val="none" w:sz="0" w:space="0" w:color="auto"/>
            <w:bottom w:val="none" w:sz="0" w:space="0" w:color="auto"/>
            <w:right w:val="none" w:sz="0" w:space="0" w:color="auto"/>
          </w:divBdr>
        </w:div>
        <w:div w:id="1981303216">
          <w:marLeft w:val="547"/>
          <w:marRight w:val="0"/>
          <w:marTop w:val="192"/>
          <w:marBottom w:val="240"/>
          <w:divBdr>
            <w:top w:val="none" w:sz="0" w:space="0" w:color="auto"/>
            <w:left w:val="none" w:sz="0" w:space="0" w:color="auto"/>
            <w:bottom w:val="none" w:sz="0" w:space="0" w:color="auto"/>
            <w:right w:val="none" w:sz="0" w:space="0" w:color="auto"/>
          </w:divBdr>
        </w:div>
      </w:divsChild>
    </w:div>
    <w:div w:id="802119791">
      <w:bodyDiv w:val="1"/>
      <w:marLeft w:val="0"/>
      <w:marRight w:val="0"/>
      <w:marTop w:val="0"/>
      <w:marBottom w:val="0"/>
      <w:divBdr>
        <w:top w:val="none" w:sz="0" w:space="0" w:color="auto"/>
        <w:left w:val="none" w:sz="0" w:space="0" w:color="auto"/>
        <w:bottom w:val="none" w:sz="0" w:space="0" w:color="auto"/>
        <w:right w:val="none" w:sz="0" w:space="0" w:color="auto"/>
      </w:divBdr>
    </w:div>
    <w:div w:id="869611068">
      <w:bodyDiv w:val="1"/>
      <w:marLeft w:val="0"/>
      <w:marRight w:val="0"/>
      <w:marTop w:val="0"/>
      <w:marBottom w:val="0"/>
      <w:divBdr>
        <w:top w:val="none" w:sz="0" w:space="0" w:color="auto"/>
        <w:left w:val="none" w:sz="0" w:space="0" w:color="auto"/>
        <w:bottom w:val="none" w:sz="0" w:space="0" w:color="auto"/>
        <w:right w:val="none" w:sz="0" w:space="0" w:color="auto"/>
      </w:divBdr>
    </w:div>
    <w:div w:id="1171680282">
      <w:bodyDiv w:val="1"/>
      <w:marLeft w:val="0"/>
      <w:marRight w:val="0"/>
      <w:marTop w:val="0"/>
      <w:marBottom w:val="0"/>
      <w:divBdr>
        <w:top w:val="none" w:sz="0" w:space="0" w:color="auto"/>
        <w:left w:val="none" w:sz="0" w:space="0" w:color="auto"/>
        <w:bottom w:val="none" w:sz="0" w:space="0" w:color="auto"/>
        <w:right w:val="none" w:sz="0" w:space="0" w:color="auto"/>
      </w:divBdr>
    </w:div>
    <w:div w:id="1507985691">
      <w:bodyDiv w:val="1"/>
      <w:marLeft w:val="0"/>
      <w:marRight w:val="0"/>
      <w:marTop w:val="0"/>
      <w:marBottom w:val="0"/>
      <w:divBdr>
        <w:top w:val="none" w:sz="0" w:space="0" w:color="auto"/>
        <w:left w:val="none" w:sz="0" w:space="0" w:color="auto"/>
        <w:bottom w:val="none" w:sz="0" w:space="0" w:color="auto"/>
        <w:right w:val="none" w:sz="0" w:space="0" w:color="auto"/>
      </w:divBdr>
    </w:div>
    <w:div w:id="1523981428">
      <w:bodyDiv w:val="1"/>
      <w:marLeft w:val="0"/>
      <w:marRight w:val="0"/>
      <w:marTop w:val="0"/>
      <w:marBottom w:val="0"/>
      <w:divBdr>
        <w:top w:val="none" w:sz="0" w:space="0" w:color="auto"/>
        <w:left w:val="none" w:sz="0" w:space="0" w:color="auto"/>
        <w:bottom w:val="none" w:sz="0" w:space="0" w:color="auto"/>
        <w:right w:val="none" w:sz="0" w:space="0" w:color="auto"/>
      </w:divBdr>
    </w:div>
    <w:div w:id="1559127188">
      <w:bodyDiv w:val="1"/>
      <w:marLeft w:val="0"/>
      <w:marRight w:val="0"/>
      <w:marTop w:val="0"/>
      <w:marBottom w:val="0"/>
      <w:divBdr>
        <w:top w:val="none" w:sz="0" w:space="0" w:color="auto"/>
        <w:left w:val="none" w:sz="0" w:space="0" w:color="auto"/>
        <w:bottom w:val="none" w:sz="0" w:space="0" w:color="auto"/>
        <w:right w:val="none" w:sz="0" w:space="0" w:color="auto"/>
      </w:divBdr>
    </w:div>
    <w:div w:id="1672874606">
      <w:bodyDiv w:val="1"/>
      <w:marLeft w:val="0"/>
      <w:marRight w:val="0"/>
      <w:marTop w:val="0"/>
      <w:marBottom w:val="0"/>
      <w:divBdr>
        <w:top w:val="none" w:sz="0" w:space="0" w:color="auto"/>
        <w:left w:val="none" w:sz="0" w:space="0" w:color="auto"/>
        <w:bottom w:val="none" w:sz="0" w:space="0" w:color="auto"/>
        <w:right w:val="none" w:sz="0" w:space="0" w:color="auto"/>
      </w:divBdr>
    </w:div>
    <w:div w:id="20965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Central_Provident_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C8B6-7997-400B-AB15-A742BD76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Zaigham</cp:lastModifiedBy>
  <cp:revision>2</cp:revision>
  <dcterms:created xsi:type="dcterms:W3CDTF">2012-09-14T01:06:00Z</dcterms:created>
  <dcterms:modified xsi:type="dcterms:W3CDTF">2012-09-14T01:06:00Z</dcterms:modified>
</cp:coreProperties>
</file>