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52C6" w:rsidRDefault="00E152C6" w:rsidP="00C656F9">
      <w:pPr>
        <w:jc w:val="both"/>
        <w:rPr>
          <w:b/>
          <w:bCs/>
          <w:sz w:val="28"/>
          <w:szCs w:val="28"/>
        </w:rPr>
      </w:pPr>
    </w:p>
    <w:p w:rsidR="00E152C6" w:rsidRDefault="00E152C6" w:rsidP="00C656F9">
      <w:pPr>
        <w:jc w:val="both"/>
        <w:rPr>
          <w:b/>
          <w:bCs/>
          <w:sz w:val="28"/>
          <w:szCs w:val="28"/>
        </w:rPr>
      </w:pPr>
    </w:p>
    <w:p w:rsidR="00E152C6" w:rsidRDefault="00E152C6" w:rsidP="00C656F9">
      <w:pPr>
        <w:jc w:val="both"/>
        <w:rPr>
          <w:b/>
          <w:bCs/>
          <w:sz w:val="28"/>
          <w:szCs w:val="28"/>
        </w:rPr>
      </w:pPr>
    </w:p>
    <w:p w:rsidR="00E152C6" w:rsidRDefault="00E152C6" w:rsidP="00C656F9">
      <w:pPr>
        <w:jc w:val="both"/>
        <w:rPr>
          <w:b/>
          <w:bCs/>
          <w:sz w:val="28"/>
          <w:szCs w:val="28"/>
        </w:rPr>
      </w:pPr>
    </w:p>
    <w:p w:rsidR="00E152C6" w:rsidRDefault="00E152C6" w:rsidP="00C656F9">
      <w:pPr>
        <w:jc w:val="both"/>
        <w:rPr>
          <w:b/>
          <w:bCs/>
          <w:sz w:val="28"/>
          <w:szCs w:val="28"/>
        </w:rPr>
      </w:pPr>
    </w:p>
    <w:p w:rsidR="00E152C6" w:rsidRPr="004301E8" w:rsidRDefault="00E152C6" w:rsidP="004301E8">
      <w:pPr>
        <w:autoSpaceDE w:val="0"/>
        <w:autoSpaceDN w:val="0"/>
        <w:adjustRightInd w:val="0"/>
        <w:spacing w:line="240" w:lineRule="auto"/>
        <w:rPr>
          <w:rFonts w:ascii="Cambria" w:hAnsi="Cambria" w:cs="Cambria"/>
          <w:color w:val="000000"/>
          <w:sz w:val="24"/>
          <w:szCs w:val="24"/>
        </w:rPr>
      </w:pPr>
    </w:p>
    <w:tbl>
      <w:tblPr>
        <w:tblW w:w="0" w:type="auto"/>
        <w:tblInd w:w="-106" w:type="dxa"/>
        <w:tblLook w:val="0000"/>
      </w:tblPr>
      <w:tblGrid>
        <w:gridCol w:w="11016"/>
      </w:tblGrid>
      <w:tr w:rsidR="00E152C6" w:rsidRPr="00F92E18">
        <w:trPr>
          <w:trHeight w:val="2677"/>
        </w:trPr>
        <w:tc>
          <w:tcPr>
            <w:tcW w:w="0" w:type="auto"/>
          </w:tcPr>
          <w:p w:rsidR="00E152C6" w:rsidRPr="00F92E18" w:rsidRDefault="00E152C6" w:rsidP="004301E8">
            <w:pPr>
              <w:autoSpaceDE w:val="0"/>
              <w:autoSpaceDN w:val="0"/>
              <w:adjustRightInd w:val="0"/>
              <w:spacing w:line="240" w:lineRule="auto"/>
              <w:jc w:val="center"/>
              <w:rPr>
                <w:rFonts w:ascii="Cambria" w:hAnsi="Cambria" w:cs="Cambria"/>
                <w:b/>
                <w:bCs/>
                <w:color w:val="984806"/>
                <w:sz w:val="96"/>
                <w:szCs w:val="96"/>
              </w:rPr>
            </w:pPr>
            <w:r w:rsidRPr="00F92E18">
              <w:rPr>
                <w:rFonts w:ascii="Cambria" w:hAnsi="Cambria" w:cs="Cambria"/>
                <w:b/>
                <w:bCs/>
                <w:color w:val="984806"/>
                <w:sz w:val="96"/>
                <w:szCs w:val="96"/>
              </w:rPr>
              <w:t xml:space="preserve">Concept Paper on Mortgage Refinance Company </w:t>
            </w:r>
          </w:p>
        </w:tc>
      </w:tr>
      <w:tr w:rsidR="00E152C6" w:rsidRPr="00F92E18">
        <w:trPr>
          <w:trHeight w:val="439"/>
        </w:trPr>
        <w:tc>
          <w:tcPr>
            <w:tcW w:w="0" w:type="auto"/>
          </w:tcPr>
          <w:p w:rsidR="00E152C6" w:rsidRPr="00F92E18" w:rsidRDefault="00E152C6" w:rsidP="00C91192">
            <w:pPr>
              <w:autoSpaceDE w:val="0"/>
              <w:autoSpaceDN w:val="0"/>
              <w:adjustRightInd w:val="0"/>
              <w:spacing w:line="480" w:lineRule="auto"/>
              <w:jc w:val="center"/>
              <w:rPr>
                <w:rFonts w:ascii="Cambria" w:hAnsi="Cambria" w:cs="Cambria"/>
                <w:b/>
                <w:bCs/>
                <w:color w:val="984806"/>
                <w:sz w:val="52"/>
                <w:szCs w:val="52"/>
              </w:rPr>
            </w:pPr>
          </w:p>
          <w:p w:rsidR="00E152C6" w:rsidRPr="00F92E18" w:rsidRDefault="00E152C6" w:rsidP="00C91192">
            <w:pPr>
              <w:autoSpaceDE w:val="0"/>
              <w:autoSpaceDN w:val="0"/>
              <w:adjustRightInd w:val="0"/>
              <w:spacing w:line="480" w:lineRule="auto"/>
              <w:jc w:val="center"/>
              <w:rPr>
                <w:rFonts w:ascii="Cambria" w:hAnsi="Cambria" w:cs="Cambria"/>
                <w:b/>
                <w:bCs/>
                <w:color w:val="984806"/>
                <w:sz w:val="52"/>
                <w:szCs w:val="52"/>
              </w:rPr>
            </w:pPr>
            <w:r w:rsidRPr="00F92E18">
              <w:rPr>
                <w:rFonts w:ascii="Cambria" w:hAnsi="Cambria" w:cs="Cambria"/>
                <w:b/>
                <w:bCs/>
                <w:color w:val="984806"/>
                <w:sz w:val="52"/>
                <w:szCs w:val="52"/>
              </w:rPr>
              <w:t>State Bank of Pakistan</w:t>
            </w:r>
          </w:p>
        </w:tc>
      </w:tr>
      <w:tr w:rsidR="00E152C6" w:rsidRPr="00F92E18">
        <w:trPr>
          <w:trHeight w:val="432"/>
        </w:trPr>
        <w:tc>
          <w:tcPr>
            <w:tcW w:w="0" w:type="auto"/>
          </w:tcPr>
          <w:p w:rsidR="00E152C6" w:rsidRPr="00F92E18" w:rsidRDefault="00E152C6" w:rsidP="00C91192">
            <w:pPr>
              <w:autoSpaceDE w:val="0"/>
              <w:autoSpaceDN w:val="0"/>
              <w:adjustRightInd w:val="0"/>
              <w:spacing w:line="360" w:lineRule="auto"/>
              <w:jc w:val="center"/>
              <w:rPr>
                <w:b/>
                <w:bCs/>
                <w:color w:val="984806"/>
                <w:sz w:val="36"/>
                <w:szCs w:val="36"/>
              </w:rPr>
            </w:pPr>
          </w:p>
          <w:p w:rsidR="00E152C6" w:rsidRPr="00F92E18" w:rsidRDefault="00E152C6" w:rsidP="00C91192">
            <w:pPr>
              <w:autoSpaceDE w:val="0"/>
              <w:autoSpaceDN w:val="0"/>
              <w:adjustRightInd w:val="0"/>
              <w:spacing w:line="360" w:lineRule="auto"/>
              <w:jc w:val="center"/>
              <w:rPr>
                <w:b/>
                <w:bCs/>
                <w:color w:val="984806"/>
                <w:sz w:val="36"/>
                <w:szCs w:val="36"/>
              </w:rPr>
            </w:pPr>
          </w:p>
          <w:p w:rsidR="00E152C6" w:rsidRPr="00F92E18" w:rsidRDefault="00E152C6" w:rsidP="00C91192">
            <w:pPr>
              <w:autoSpaceDE w:val="0"/>
              <w:autoSpaceDN w:val="0"/>
              <w:adjustRightInd w:val="0"/>
              <w:spacing w:line="360" w:lineRule="auto"/>
              <w:jc w:val="center"/>
              <w:rPr>
                <w:color w:val="984806"/>
                <w:sz w:val="36"/>
                <w:szCs w:val="36"/>
              </w:rPr>
            </w:pPr>
            <w:r w:rsidRPr="00F92E18">
              <w:rPr>
                <w:b/>
                <w:bCs/>
                <w:color w:val="984806"/>
                <w:sz w:val="36"/>
                <w:szCs w:val="36"/>
              </w:rPr>
              <w:t>Infrastructure &amp; Housing Finance Department</w:t>
            </w:r>
          </w:p>
        </w:tc>
      </w:tr>
      <w:tr w:rsidR="00E152C6" w:rsidRPr="00F92E18">
        <w:trPr>
          <w:trHeight w:val="221"/>
        </w:trPr>
        <w:tc>
          <w:tcPr>
            <w:tcW w:w="0" w:type="auto"/>
          </w:tcPr>
          <w:p w:rsidR="00E152C6" w:rsidRPr="00F92E18" w:rsidRDefault="00E152C6" w:rsidP="00C91192">
            <w:pPr>
              <w:autoSpaceDE w:val="0"/>
              <w:autoSpaceDN w:val="0"/>
              <w:adjustRightInd w:val="0"/>
              <w:spacing w:line="360" w:lineRule="auto"/>
              <w:jc w:val="center"/>
              <w:rPr>
                <w:color w:val="984806"/>
                <w:sz w:val="36"/>
                <w:szCs w:val="36"/>
              </w:rPr>
            </w:pPr>
            <w:r w:rsidRPr="00F92E18">
              <w:rPr>
                <w:b/>
                <w:bCs/>
                <w:color w:val="984806"/>
                <w:sz w:val="36"/>
                <w:szCs w:val="36"/>
              </w:rPr>
              <w:t>[January 2010]</w:t>
            </w:r>
          </w:p>
        </w:tc>
      </w:tr>
    </w:tbl>
    <w:p w:rsidR="00E152C6" w:rsidRPr="004301E8" w:rsidRDefault="00E152C6" w:rsidP="00C91192">
      <w:pPr>
        <w:autoSpaceDE w:val="0"/>
        <w:autoSpaceDN w:val="0"/>
        <w:adjustRightInd w:val="0"/>
        <w:spacing w:line="360" w:lineRule="auto"/>
        <w:jc w:val="center"/>
        <w:rPr>
          <w:rFonts w:ascii="Cambria" w:hAnsi="Cambria" w:cs="Cambria"/>
          <w:sz w:val="28"/>
          <w:szCs w:val="28"/>
        </w:rPr>
      </w:pPr>
    </w:p>
    <w:p w:rsidR="00E152C6" w:rsidRDefault="00E152C6" w:rsidP="00C656F9">
      <w:pPr>
        <w:jc w:val="both"/>
        <w:rPr>
          <w:b/>
          <w:bCs/>
          <w:sz w:val="28"/>
          <w:szCs w:val="28"/>
        </w:rPr>
      </w:pPr>
    </w:p>
    <w:p w:rsidR="00E152C6" w:rsidRDefault="00E152C6" w:rsidP="00EF054A">
      <w:pPr>
        <w:jc w:val="center"/>
        <w:rPr>
          <w:b/>
          <w:bCs/>
          <w:sz w:val="28"/>
          <w:szCs w:val="28"/>
        </w:rPr>
      </w:pPr>
    </w:p>
    <w:p w:rsidR="00E152C6" w:rsidRDefault="00E152C6" w:rsidP="009833A8">
      <w:pPr>
        <w:tabs>
          <w:tab w:val="left" w:pos="1635"/>
        </w:tabs>
        <w:jc w:val="both"/>
        <w:rPr>
          <w:b/>
          <w:bCs/>
          <w:sz w:val="28"/>
          <w:szCs w:val="28"/>
        </w:rPr>
      </w:pPr>
      <w:r>
        <w:rPr>
          <w:b/>
          <w:bCs/>
          <w:sz w:val="28"/>
          <w:szCs w:val="28"/>
        </w:rPr>
        <w:tab/>
      </w:r>
    </w:p>
    <w:p w:rsidR="00E152C6" w:rsidRDefault="00E152C6" w:rsidP="00C656F9">
      <w:pPr>
        <w:jc w:val="both"/>
        <w:rPr>
          <w:b/>
          <w:bCs/>
          <w:sz w:val="28"/>
          <w:szCs w:val="28"/>
        </w:rPr>
      </w:pPr>
    </w:p>
    <w:p w:rsidR="00E152C6" w:rsidRDefault="00E152C6" w:rsidP="00C656F9">
      <w:pPr>
        <w:jc w:val="both"/>
        <w:rPr>
          <w:b/>
          <w:bCs/>
          <w:sz w:val="28"/>
          <w:szCs w:val="28"/>
        </w:rPr>
      </w:pPr>
    </w:p>
    <w:p w:rsidR="00E152C6" w:rsidRDefault="00E152C6" w:rsidP="00C656F9">
      <w:pPr>
        <w:jc w:val="both"/>
        <w:rPr>
          <w:b/>
          <w:bCs/>
          <w:sz w:val="28"/>
          <w:szCs w:val="28"/>
        </w:rPr>
      </w:pPr>
    </w:p>
    <w:p w:rsidR="00E152C6" w:rsidRDefault="00E152C6" w:rsidP="00C656F9">
      <w:pPr>
        <w:jc w:val="both"/>
        <w:rPr>
          <w:b/>
          <w:bCs/>
          <w:sz w:val="28"/>
          <w:szCs w:val="28"/>
        </w:rPr>
      </w:pPr>
    </w:p>
    <w:p w:rsidR="00E152C6" w:rsidRDefault="00E152C6" w:rsidP="007F35C1">
      <w:pPr>
        <w:pStyle w:val="TOCHeading"/>
        <w:jc w:val="center"/>
      </w:pPr>
      <w:r>
        <w:t>Table of Contents</w:t>
      </w:r>
    </w:p>
    <w:p w:rsidR="00E152C6" w:rsidRPr="00715E8E" w:rsidRDefault="00E152C6" w:rsidP="00F92E18">
      <w:pPr>
        <w:pStyle w:val="TOC1"/>
        <w:tabs>
          <w:tab w:val="right" w:leader="dot" w:pos="10800"/>
        </w:tabs>
        <w:spacing w:line="480" w:lineRule="auto"/>
        <w:rPr>
          <w:rFonts w:cs="Times New Roman"/>
          <w:sz w:val="28"/>
          <w:szCs w:val="28"/>
        </w:rPr>
      </w:pPr>
      <w:r w:rsidRPr="00715E8E">
        <w:rPr>
          <w:b/>
          <w:bCs/>
          <w:sz w:val="28"/>
          <w:szCs w:val="28"/>
        </w:rPr>
        <w:t xml:space="preserve">Background  </w:t>
      </w:r>
      <w:r w:rsidRPr="00715E8E">
        <w:rPr>
          <w:b/>
          <w:bCs/>
          <w:sz w:val="28"/>
          <w:szCs w:val="28"/>
        </w:rPr>
        <w:tab/>
        <w:t>3</w:t>
      </w:r>
    </w:p>
    <w:p w:rsidR="00E152C6" w:rsidRPr="00715E8E" w:rsidRDefault="00E152C6" w:rsidP="00F92E18">
      <w:pPr>
        <w:tabs>
          <w:tab w:val="right" w:leader="dot" w:pos="10800"/>
        </w:tabs>
        <w:spacing w:line="480" w:lineRule="auto"/>
        <w:jc w:val="both"/>
        <w:rPr>
          <w:b/>
          <w:bCs/>
          <w:sz w:val="28"/>
          <w:szCs w:val="28"/>
        </w:rPr>
      </w:pPr>
      <w:r w:rsidRPr="00715E8E">
        <w:rPr>
          <w:b/>
          <w:bCs/>
          <w:sz w:val="28"/>
          <w:szCs w:val="28"/>
        </w:rPr>
        <w:t xml:space="preserve">Mortgage Refinance Company </w:t>
      </w:r>
      <w:r w:rsidRPr="00715E8E">
        <w:rPr>
          <w:b/>
          <w:bCs/>
          <w:sz w:val="28"/>
          <w:szCs w:val="28"/>
        </w:rPr>
        <w:tab/>
        <w:t>3</w:t>
      </w:r>
    </w:p>
    <w:p w:rsidR="00E152C6" w:rsidRPr="00715E8E" w:rsidRDefault="00E152C6" w:rsidP="00F92E18">
      <w:pPr>
        <w:tabs>
          <w:tab w:val="right" w:leader="dot" w:pos="10800"/>
        </w:tabs>
        <w:spacing w:line="480" w:lineRule="auto"/>
        <w:jc w:val="both"/>
        <w:rPr>
          <w:sz w:val="28"/>
          <w:szCs w:val="28"/>
        </w:rPr>
      </w:pPr>
      <w:r w:rsidRPr="00715E8E">
        <w:rPr>
          <w:b/>
          <w:bCs/>
          <w:sz w:val="28"/>
          <w:szCs w:val="28"/>
        </w:rPr>
        <w:t xml:space="preserve">Pakistan economy </w:t>
      </w:r>
      <w:r w:rsidRPr="00715E8E">
        <w:rPr>
          <w:b/>
          <w:bCs/>
          <w:sz w:val="28"/>
          <w:szCs w:val="28"/>
        </w:rPr>
        <w:tab/>
        <w:t xml:space="preserve">4 </w:t>
      </w:r>
    </w:p>
    <w:p w:rsidR="00E152C6" w:rsidRPr="00715E8E" w:rsidRDefault="00E152C6" w:rsidP="00F92E18">
      <w:pPr>
        <w:pStyle w:val="TOC1"/>
        <w:tabs>
          <w:tab w:val="right" w:leader="dot" w:pos="10800"/>
        </w:tabs>
        <w:spacing w:line="480" w:lineRule="auto"/>
        <w:rPr>
          <w:rFonts w:cs="Times New Roman"/>
          <w:sz w:val="28"/>
          <w:szCs w:val="28"/>
        </w:rPr>
      </w:pPr>
      <w:r w:rsidRPr="00715E8E">
        <w:rPr>
          <w:b/>
          <w:bCs/>
          <w:sz w:val="28"/>
          <w:szCs w:val="28"/>
        </w:rPr>
        <w:t xml:space="preserve">Capital Market </w:t>
      </w:r>
      <w:r>
        <w:rPr>
          <w:rFonts w:cs="Times New Roman"/>
          <w:b/>
          <w:bCs/>
          <w:sz w:val="28"/>
          <w:szCs w:val="28"/>
        </w:rPr>
        <w:tab/>
      </w:r>
      <w:r>
        <w:rPr>
          <w:b/>
          <w:bCs/>
          <w:sz w:val="28"/>
          <w:szCs w:val="28"/>
        </w:rPr>
        <w:t>5</w:t>
      </w:r>
      <w:r w:rsidRPr="00715E8E">
        <w:rPr>
          <w:b/>
          <w:bCs/>
          <w:sz w:val="28"/>
          <w:szCs w:val="28"/>
        </w:rPr>
        <w:t xml:space="preserve"> </w:t>
      </w:r>
    </w:p>
    <w:p w:rsidR="00E152C6" w:rsidRPr="00715E8E" w:rsidRDefault="00E152C6" w:rsidP="00F92E18">
      <w:pPr>
        <w:pStyle w:val="TOC1"/>
        <w:tabs>
          <w:tab w:val="right" w:leader="dot" w:pos="10800"/>
        </w:tabs>
        <w:spacing w:line="480" w:lineRule="auto"/>
        <w:rPr>
          <w:rFonts w:cs="Times New Roman"/>
          <w:sz w:val="28"/>
          <w:szCs w:val="28"/>
        </w:rPr>
      </w:pPr>
      <w:r w:rsidRPr="00715E8E">
        <w:rPr>
          <w:b/>
          <w:bCs/>
          <w:sz w:val="28"/>
          <w:szCs w:val="28"/>
        </w:rPr>
        <w:t xml:space="preserve">Financial Sector  </w:t>
      </w:r>
      <w:r>
        <w:rPr>
          <w:rFonts w:cs="Times New Roman"/>
          <w:b/>
          <w:bCs/>
          <w:sz w:val="28"/>
          <w:szCs w:val="28"/>
        </w:rPr>
        <w:tab/>
      </w:r>
      <w:r>
        <w:rPr>
          <w:b/>
          <w:bCs/>
          <w:sz w:val="28"/>
          <w:szCs w:val="28"/>
        </w:rPr>
        <w:t>6</w:t>
      </w:r>
      <w:r w:rsidRPr="00715E8E">
        <w:rPr>
          <w:b/>
          <w:bCs/>
          <w:sz w:val="28"/>
          <w:szCs w:val="28"/>
        </w:rPr>
        <w:t xml:space="preserve"> </w:t>
      </w:r>
    </w:p>
    <w:p w:rsidR="00E152C6" w:rsidRPr="00715E8E" w:rsidRDefault="00E152C6" w:rsidP="00F92E18">
      <w:pPr>
        <w:pStyle w:val="Default"/>
        <w:tabs>
          <w:tab w:val="right" w:leader="dot" w:pos="10800"/>
        </w:tabs>
        <w:spacing w:line="480" w:lineRule="auto"/>
        <w:jc w:val="both"/>
        <w:rPr>
          <w:rFonts w:ascii="Calibri" w:hAnsi="Calibri" w:cs="Calibri"/>
          <w:sz w:val="28"/>
          <w:szCs w:val="28"/>
        </w:rPr>
      </w:pPr>
      <w:r w:rsidRPr="00715E8E">
        <w:rPr>
          <w:rFonts w:ascii="Calibri" w:hAnsi="Calibri" w:cs="Calibri"/>
          <w:b/>
          <w:bCs/>
          <w:color w:val="auto"/>
          <w:sz w:val="28"/>
          <w:szCs w:val="28"/>
        </w:rPr>
        <w:t>Mortgage Market of Pakistan</w:t>
      </w:r>
      <w:r w:rsidRPr="00715E8E">
        <w:rPr>
          <w:rFonts w:ascii="Calibri" w:hAnsi="Calibri" w:cs="Calibri"/>
          <w:b/>
          <w:bCs/>
          <w:sz w:val="28"/>
          <w:szCs w:val="28"/>
        </w:rPr>
        <w:t xml:space="preserve"> </w:t>
      </w:r>
      <w:r>
        <w:rPr>
          <w:rFonts w:ascii="Calibri" w:hAnsi="Calibri" w:cs="Calibri"/>
          <w:b/>
          <w:bCs/>
          <w:sz w:val="28"/>
          <w:szCs w:val="28"/>
        </w:rPr>
        <w:tab/>
        <w:t>7</w:t>
      </w:r>
      <w:r w:rsidRPr="00715E8E">
        <w:rPr>
          <w:rFonts w:ascii="Calibri" w:hAnsi="Calibri" w:cs="Calibri"/>
          <w:b/>
          <w:bCs/>
          <w:sz w:val="28"/>
          <w:szCs w:val="28"/>
        </w:rPr>
        <w:t xml:space="preserve"> </w:t>
      </w:r>
    </w:p>
    <w:p w:rsidR="00E152C6" w:rsidRPr="00715E8E" w:rsidRDefault="00E152C6" w:rsidP="00F92E18">
      <w:pPr>
        <w:pStyle w:val="Default"/>
        <w:tabs>
          <w:tab w:val="right" w:leader="dot" w:pos="10800"/>
        </w:tabs>
        <w:spacing w:line="480" w:lineRule="auto"/>
        <w:rPr>
          <w:rFonts w:ascii="Calibri" w:hAnsi="Calibri" w:cs="Calibri"/>
          <w:sz w:val="28"/>
          <w:szCs w:val="28"/>
        </w:rPr>
      </w:pPr>
      <w:r w:rsidRPr="00715E8E">
        <w:rPr>
          <w:rFonts w:ascii="Calibri" w:hAnsi="Calibri" w:cs="Calibri"/>
          <w:b/>
          <w:bCs/>
          <w:color w:val="auto"/>
          <w:sz w:val="28"/>
          <w:szCs w:val="28"/>
        </w:rPr>
        <w:t>Mortgage Liquidity Facility in Pakistan</w:t>
      </w:r>
      <w:r w:rsidRPr="00715E8E">
        <w:rPr>
          <w:rFonts w:ascii="Calibri" w:hAnsi="Calibri" w:cs="Calibri"/>
          <w:b/>
          <w:bCs/>
          <w:sz w:val="28"/>
          <w:szCs w:val="28"/>
        </w:rPr>
        <w:t xml:space="preserve"> </w:t>
      </w:r>
      <w:r>
        <w:rPr>
          <w:rFonts w:ascii="Calibri" w:hAnsi="Calibri" w:cs="Calibri"/>
          <w:b/>
          <w:bCs/>
          <w:sz w:val="28"/>
          <w:szCs w:val="28"/>
        </w:rPr>
        <w:tab/>
        <w:t>9</w:t>
      </w:r>
      <w:r w:rsidRPr="00715E8E">
        <w:rPr>
          <w:rFonts w:ascii="Calibri" w:hAnsi="Calibri" w:cs="Calibri"/>
          <w:b/>
          <w:bCs/>
          <w:sz w:val="28"/>
          <w:szCs w:val="28"/>
        </w:rPr>
        <w:t xml:space="preserve"> </w:t>
      </w:r>
    </w:p>
    <w:p w:rsidR="00E152C6" w:rsidRDefault="00E152C6" w:rsidP="00F92E18">
      <w:pPr>
        <w:pStyle w:val="Default"/>
        <w:tabs>
          <w:tab w:val="right" w:leader="dot" w:pos="10800"/>
        </w:tabs>
        <w:spacing w:line="480" w:lineRule="auto"/>
        <w:rPr>
          <w:rFonts w:ascii="Calibri" w:hAnsi="Calibri" w:cs="Calibri"/>
          <w:b/>
          <w:bCs/>
          <w:sz w:val="28"/>
          <w:szCs w:val="28"/>
        </w:rPr>
      </w:pPr>
      <w:r w:rsidRPr="00715E8E">
        <w:rPr>
          <w:rFonts w:ascii="Calibri" w:hAnsi="Calibri" w:cs="Calibri"/>
          <w:b/>
          <w:bCs/>
          <w:color w:val="auto"/>
          <w:sz w:val="28"/>
          <w:szCs w:val="28"/>
        </w:rPr>
        <w:t xml:space="preserve">The possible models for PMRC </w:t>
      </w:r>
      <w:r w:rsidRPr="00715E8E">
        <w:rPr>
          <w:rFonts w:ascii="Calibri" w:hAnsi="Calibri" w:cs="Calibri"/>
          <w:b/>
          <w:bCs/>
          <w:sz w:val="28"/>
          <w:szCs w:val="28"/>
        </w:rPr>
        <w:tab/>
        <w:t>1</w:t>
      </w:r>
      <w:r>
        <w:rPr>
          <w:rFonts w:ascii="Calibri" w:hAnsi="Calibri" w:cs="Calibri"/>
          <w:b/>
          <w:bCs/>
          <w:sz w:val="28"/>
          <w:szCs w:val="28"/>
        </w:rPr>
        <w:t>1</w:t>
      </w:r>
    </w:p>
    <w:p w:rsidR="00E152C6" w:rsidRPr="00715E8E" w:rsidRDefault="00E152C6" w:rsidP="00F92E18">
      <w:pPr>
        <w:pStyle w:val="Default"/>
        <w:tabs>
          <w:tab w:val="right" w:leader="dot" w:pos="10800"/>
        </w:tabs>
        <w:spacing w:line="480" w:lineRule="auto"/>
        <w:rPr>
          <w:rFonts w:ascii="Calibri" w:hAnsi="Calibri" w:cs="Calibri"/>
          <w:sz w:val="28"/>
          <w:szCs w:val="28"/>
        </w:rPr>
      </w:pPr>
      <w:r>
        <w:rPr>
          <w:rFonts w:ascii="Calibri" w:hAnsi="Calibri" w:cs="Calibri"/>
          <w:b/>
          <w:bCs/>
          <w:color w:val="auto"/>
          <w:sz w:val="28"/>
          <w:szCs w:val="28"/>
        </w:rPr>
        <w:t>PMRC- Proposed Shareholding Structure</w:t>
      </w:r>
      <w:r w:rsidRPr="00715E8E">
        <w:rPr>
          <w:rFonts w:ascii="Calibri" w:hAnsi="Calibri" w:cs="Calibri"/>
          <w:b/>
          <w:bCs/>
          <w:color w:val="auto"/>
          <w:sz w:val="28"/>
          <w:szCs w:val="28"/>
        </w:rPr>
        <w:t xml:space="preserve"> </w:t>
      </w:r>
      <w:r w:rsidRPr="00715E8E">
        <w:rPr>
          <w:rFonts w:ascii="Calibri" w:hAnsi="Calibri" w:cs="Calibri"/>
          <w:b/>
          <w:bCs/>
          <w:sz w:val="28"/>
          <w:szCs w:val="28"/>
        </w:rPr>
        <w:tab/>
        <w:t>1</w:t>
      </w:r>
      <w:r>
        <w:rPr>
          <w:rFonts w:ascii="Calibri" w:hAnsi="Calibri" w:cs="Calibri"/>
          <w:b/>
          <w:bCs/>
          <w:sz w:val="28"/>
          <w:szCs w:val="28"/>
        </w:rPr>
        <w:t>5</w:t>
      </w:r>
      <w:r w:rsidRPr="00715E8E">
        <w:rPr>
          <w:rFonts w:ascii="Calibri" w:hAnsi="Calibri" w:cs="Calibri"/>
          <w:b/>
          <w:bCs/>
          <w:sz w:val="28"/>
          <w:szCs w:val="28"/>
        </w:rPr>
        <w:t xml:space="preserve"> </w:t>
      </w:r>
    </w:p>
    <w:p w:rsidR="00E152C6" w:rsidRPr="00715E8E" w:rsidRDefault="00E152C6" w:rsidP="00F92E18">
      <w:pPr>
        <w:pStyle w:val="Default"/>
        <w:tabs>
          <w:tab w:val="right" w:leader="dot" w:pos="10800"/>
        </w:tabs>
        <w:spacing w:line="480" w:lineRule="auto"/>
        <w:rPr>
          <w:rFonts w:ascii="Calibri" w:hAnsi="Calibri" w:cs="Calibri"/>
          <w:sz w:val="28"/>
          <w:szCs w:val="28"/>
        </w:rPr>
      </w:pPr>
      <w:r>
        <w:rPr>
          <w:rFonts w:ascii="Calibri" w:hAnsi="Calibri" w:cs="Calibri"/>
          <w:b/>
          <w:bCs/>
          <w:sz w:val="28"/>
          <w:szCs w:val="28"/>
        </w:rPr>
        <w:t>Successful international Models</w:t>
      </w:r>
      <w:r w:rsidRPr="00715E8E">
        <w:rPr>
          <w:rFonts w:ascii="Calibri" w:hAnsi="Calibri" w:cs="Calibri"/>
          <w:b/>
          <w:bCs/>
          <w:color w:val="auto"/>
          <w:sz w:val="28"/>
          <w:szCs w:val="28"/>
        </w:rPr>
        <w:t xml:space="preserve"> </w:t>
      </w:r>
      <w:r w:rsidRPr="00715E8E">
        <w:rPr>
          <w:rFonts w:ascii="Calibri" w:hAnsi="Calibri" w:cs="Calibri"/>
          <w:b/>
          <w:bCs/>
          <w:sz w:val="28"/>
          <w:szCs w:val="28"/>
        </w:rPr>
        <w:tab/>
        <w:t>1</w:t>
      </w:r>
      <w:r>
        <w:rPr>
          <w:rFonts w:ascii="Calibri" w:hAnsi="Calibri" w:cs="Calibri"/>
          <w:b/>
          <w:bCs/>
          <w:sz w:val="28"/>
          <w:szCs w:val="28"/>
        </w:rPr>
        <w:t>6</w:t>
      </w:r>
      <w:r w:rsidRPr="00715E8E">
        <w:rPr>
          <w:rFonts w:ascii="Calibri" w:hAnsi="Calibri" w:cs="Calibri"/>
          <w:b/>
          <w:bCs/>
          <w:sz w:val="28"/>
          <w:szCs w:val="28"/>
        </w:rPr>
        <w:t xml:space="preserve"> </w:t>
      </w:r>
    </w:p>
    <w:p w:rsidR="00E152C6" w:rsidRPr="00715E8E" w:rsidRDefault="00E152C6" w:rsidP="005E2ED8">
      <w:pPr>
        <w:pStyle w:val="Default"/>
        <w:spacing w:line="480" w:lineRule="auto"/>
        <w:rPr>
          <w:rFonts w:ascii="Calibri" w:hAnsi="Calibri" w:cs="Calibri"/>
          <w:sz w:val="28"/>
          <w:szCs w:val="28"/>
        </w:rPr>
      </w:pPr>
    </w:p>
    <w:p w:rsidR="00E152C6" w:rsidRDefault="00E152C6" w:rsidP="00C45D95">
      <w:pPr>
        <w:pStyle w:val="TOC1"/>
        <w:rPr>
          <w:rFonts w:cs="Times New Roman"/>
        </w:rPr>
      </w:pPr>
    </w:p>
    <w:p w:rsidR="00E152C6" w:rsidRDefault="00E152C6">
      <w:pPr>
        <w:pStyle w:val="TOC3"/>
        <w:ind w:left="446"/>
        <w:rPr>
          <w:rFonts w:cs="Times New Roman"/>
        </w:rPr>
      </w:pPr>
    </w:p>
    <w:p w:rsidR="00E152C6" w:rsidRDefault="00E152C6" w:rsidP="00C656F9">
      <w:pPr>
        <w:jc w:val="both"/>
        <w:rPr>
          <w:b/>
          <w:bCs/>
          <w:sz w:val="28"/>
          <w:szCs w:val="28"/>
        </w:rPr>
      </w:pPr>
    </w:p>
    <w:p w:rsidR="00E152C6" w:rsidRDefault="00E152C6" w:rsidP="00C656F9">
      <w:pPr>
        <w:jc w:val="both"/>
        <w:rPr>
          <w:b/>
          <w:bCs/>
          <w:sz w:val="28"/>
          <w:szCs w:val="28"/>
        </w:rPr>
      </w:pPr>
    </w:p>
    <w:p w:rsidR="00E152C6" w:rsidRDefault="00E152C6" w:rsidP="00C656F9">
      <w:pPr>
        <w:jc w:val="both"/>
        <w:rPr>
          <w:b/>
          <w:bCs/>
          <w:sz w:val="28"/>
          <w:szCs w:val="28"/>
        </w:rPr>
      </w:pPr>
    </w:p>
    <w:p w:rsidR="00E152C6" w:rsidRDefault="00E152C6" w:rsidP="00C656F9">
      <w:pPr>
        <w:jc w:val="both"/>
        <w:rPr>
          <w:b/>
          <w:bCs/>
          <w:sz w:val="28"/>
          <w:szCs w:val="28"/>
        </w:rPr>
      </w:pPr>
    </w:p>
    <w:p w:rsidR="00E152C6" w:rsidRDefault="00E152C6" w:rsidP="00C656F9">
      <w:pPr>
        <w:jc w:val="both"/>
        <w:rPr>
          <w:b/>
          <w:bCs/>
          <w:sz w:val="28"/>
          <w:szCs w:val="28"/>
        </w:rPr>
      </w:pPr>
    </w:p>
    <w:p w:rsidR="00E152C6" w:rsidRDefault="00E152C6" w:rsidP="00C656F9">
      <w:pPr>
        <w:jc w:val="both"/>
        <w:rPr>
          <w:b/>
          <w:bCs/>
          <w:sz w:val="28"/>
          <w:szCs w:val="28"/>
        </w:rPr>
      </w:pPr>
    </w:p>
    <w:p w:rsidR="00E152C6" w:rsidRDefault="00E152C6" w:rsidP="00C656F9">
      <w:pPr>
        <w:jc w:val="both"/>
        <w:rPr>
          <w:b/>
          <w:bCs/>
          <w:sz w:val="28"/>
          <w:szCs w:val="28"/>
        </w:rPr>
      </w:pPr>
    </w:p>
    <w:p w:rsidR="00E152C6" w:rsidRDefault="00E152C6" w:rsidP="00C656F9">
      <w:pPr>
        <w:jc w:val="both"/>
        <w:rPr>
          <w:b/>
          <w:bCs/>
          <w:sz w:val="28"/>
          <w:szCs w:val="28"/>
        </w:rPr>
      </w:pPr>
    </w:p>
    <w:p w:rsidR="00E152C6" w:rsidRDefault="00E152C6" w:rsidP="00C656F9">
      <w:pPr>
        <w:jc w:val="both"/>
        <w:rPr>
          <w:b/>
          <w:bCs/>
          <w:sz w:val="28"/>
          <w:szCs w:val="28"/>
        </w:rPr>
      </w:pPr>
    </w:p>
    <w:p w:rsidR="00E152C6" w:rsidRPr="00C45D95" w:rsidRDefault="00E152C6" w:rsidP="00C656F9">
      <w:pPr>
        <w:jc w:val="both"/>
        <w:rPr>
          <w:b/>
          <w:bCs/>
          <w:sz w:val="28"/>
          <w:szCs w:val="28"/>
        </w:rPr>
      </w:pPr>
      <w:r w:rsidRPr="00C45D95">
        <w:rPr>
          <w:b/>
          <w:bCs/>
          <w:sz w:val="28"/>
          <w:szCs w:val="28"/>
        </w:rPr>
        <w:t xml:space="preserve">Background </w:t>
      </w:r>
    </w:p>
    <w:p w:rsidR="00E152C6" w:rsidRPr="00A727E7" w:rsidRDefault="00E152C6" w:rsidP="00A727E7">
      <w:pPr>
        <w:spacing w:line="240" w:lineRule="auto"/>
        <w:jc w:val="both"/>
        <w:rPr>
          <w:sz w:val="24"/>
          <w:szCs w:val="24"/>
        </w:rPr>
      </w:pPr>
      <w:r w:rsidRPr="00A727E7">
        <w:rPr>
          <w:sz w:val="24"/>
          <w:szCs w:val="24"/>
        </w:rPr>
        <w:t>Good housing facilities directly contribute to the quality of life of the people</w:t>
      </w:r>
      <w:r>
        <w:rPr>
          <w:sz w:val="24"/>
          <w:szCs w:val="24"/>
        </w:rPr>
        <w:t>,</w:t>
      </w:r>
      <w:r w:rsidRPr="00A727E7">
        <w:rPr>
          <w:sz w:val="24"/>
          <w:szCs w:val="24"/>
        </w:rPr>
        <w:t xml:space="preserve"> provides peace of mind for productive activities and ensures the longer lasting of assets. Pakistan like other developing countries has been facing shortage of housing units. According to the World Bank, (2006) there is already a backlog of 6 million housing units in Pakistan, which has been increasing to 270,000 units every year. This deficiency, combined with the less than satisfactory conditions of existing house units and high per person room density of 3.1 as compared to international standard of 1.1 per room have forced more than half of the population to live in slums.</w:t>
      </w:r>
    </w:p>
    <w:p w:rsidR="00E152C6" w:rsidRDefault="00E152C6" w:rsidP="00F67BB0">
      <w:pPr>
        <w:spacing w:line="240" w:lineRule="auto"/>
        <w:jc w:val="both"/>
      </w:pPr>
    </w:p>
    <w:p w:rsidR="00E152C6" w:rsidRPr="00F67BB0" w:rsidRDefault="00E152C6" w:rsidP="00F67BB0">
      <w:pPr>
        <w:spacing w:line="240" w:lineRule="auto"/>
        <w:jc w:val="both"/>
        <w:rPr>
          <w:sz w:val="24"/>
          <w:szCs w:val="24"/>
        </w:rPr>
      </w:pPr>
      <w:r w:rsidRPr="00E10C78">
        <w:rPr>
          <w:sz w:val="24"/>
          <w:szCs w:val="24"/>
        </w:rPr>
        <w:t>Due to the high rate of economic growth, entry of commercial banks in house finance and increase in remittances in recent years the housing sector is facing a problem of supply shortages</w:t>
      </w:r>
      <w:r>
        <w:rPr>
          <w:sz w:val="24"/>
          <w:szCs w:val="24"/>
        </w:rPr>
        <w:t xml:space="preserve"> due to increase in demand</w:t>
      </w:r>
      <w:r w:rsidRPr="00E10C78">
        <w:rPr>
          <w:sz w:val="24"/>
          <w:szCs w:val="24"/>
        </w:rPr>
        <w:t xml:space="preserve"> and as a result</w:t>
      </w:r>
      <w:r>
        <w:rPr>
          <w:sz w:val="24"/>
          <w:szCs w:val="24"/>
        </w:rPr>
        <w:t>,</w:t>
      </w:r>
      <w:r w:rsidRPr="00E10C78">
        <w:rPr>
          <w:sz w:val="24"/>
          <w:szCs w:val="24"/>
        </w:rPr>
        <w:t xml:space="preserve"> escalating prices</w:t>
      </w:r>
      <w:r>
        <w:rPr>
          <w:sz w:val="24"/>
          <w:szCs w:val="24"/>
        </w:rPr>
        <w:t xml:space="preserve"> (</w:t>
      </w:r>
      <w:r w:rsidRPr="00E10C78">
        <w:rPr>
          <w:sz w:val="24"/>
          <w:szCs w:val="24"/>
        </w:rPr>
        <w:t>notwithstanding, this fact remains that the housing sector in Pakistan is grossly underdeveloped and undercapitalized). One of the ways of improving capitalization of the sector is the provision of housing loans, thereby leveraging home ownership</w:t>
      </w:r>
      <w:r>
        <w:rPr>
          <w:sz w:val="24"/>
          <w:szCs w:val="24"/>
        </w:rPr>
        <w:t>.</w:t>
      </w:r>
    </w:p>
    <w:p w:rsidR="00E152C6" w:rsidRDefault="00E152C6" w:rsidP="00F67BB0">
      <w:pPr>
        <w:spacing w:line="240" w:lineRule="auto"/>
        <w:jc w:val="both"/>
        <w:rPr>
          <w:sz w:val="24"/>
          <w:szCs w:val="24"/>
        </w:rPr>
      </w:pPr>
    </w:p>
    <w:p w:rsidR="00E152C6" w:rsidRPr="00F67BB0" w:rsidRDefault="00E152C6" w:rsidP="00F67BB0">
      <w:pPr>
        <w:spacing w:line="240" w:lineRule="auto"/>
        <w:jc w:val="both"/>
        <w:rPr>
          <w:sz w:val="24"/>
          <w:szCs w:val="24"/>
        </w:rPr>
      </w:pPr>
      <w:r w:rsidRPr="00F67BB0">
        <w:rPr>
          <w:sz w:val="24"/>
          <w:szCs w:val="24"/>
        </w:rPr>
        <w:t>For Housing Finance, building the asset side of the Balance Sheet is a lot easier than developing a matching liability side. This issue becomes more pronounced in economies of countries in the South Asia region. In view of the massive backlog of housing in nearly all segments of the population i.e., low, middle and high-end segments, developing a housing loan portfolio offers fewer challenges as long as a Housing Finance Institution (HFI) has a diversified product range and appropriate terms for each market segment</w:t>
      </w:r>
      <w:r>
        <w:rPr>
          <w:sz w:val="24"/>
          <w:szCs w:val="24"/>
        </w:rPr>
        <w:t>.</w:t>
      </w:r>
      <w:r w:rsidRPr="00F67BB0">
        <w:rPr>
          <w:sz w:val="24"/>
          <w:szCs w:val="24"/>
        </w:rPr>
        <w:t xml:space="preserve"> In Bangladesh, India and some other countries having smaller players in the housing finance market, the biggest challenge lies in obtaining long-term funding. Most of these smaller HFIs depend on short-term public funds, bank financing, short term debentures etc for their financing requirements. Even National Housing Bank, the largest HFI in India, has to contend with limited resources and requires additional funding to meet an ever increasing demand for long term funding. </w:t>
      </w:r>
    </w:p>
    <w:p w:rsidR="00E152C6" w:rsidRDefault="00E152C6" w:rsidP="00C656F9">
      <w:pPr>
        <w:jc w:val="both"/>
        <w:rPr>
          <w:b/>
          <w:bCs/>
        </w:rPr>
      </w:pPr>
    </w:p>
    <w:p w:rsidR="00E152C6" w:rsidRPr="001A3B95" w:rsidRDefault="00E152C6" w:rsidP="00C656F9">
      <w:pPr>
        <w:jc w:val="both"/>
        <w:rPr>
          <w:b/>
          <w:bCs/>
          <w:sz w:val="28"/>
          <w:szCs w:val="28"/>
        </w:rPr>
      </w:pPr>
      <w:r w:rsidRPr="001A3B95">
        <w:rPr>
          <w:b/>
          <w:bCs/>
          <w:sz w:val="28"/>
          <w:szCs w:val="28"/>
        </w:rPr>
        <w:t xml:space="preserve">Mortgage Refinance </w:t>
      </w:r>
      <w:r>
        <w:rPr>
          <w:b/>
          <w:bCs/>
          <w:sz w:val="28"/>
          <w:szCs w:val="28"/>
        </w:rPr>
        <w:t>Company (MRC)</w:t>
      </w:r>
    </w:p>
    <w:p w:rsidR="00E152C6" w:rsidRPr="00F67BB0" w:rsidRDefault="00E152C6" w:rsidP="00C656F9">
      <w:pPr>
        <w:jc w:val="both"/>
        <w:rPr>
          <w:sz w:val="24"/>
          <w:szCs w:val="24"/>
        </w:rPr>
      </w:pPr>
      <w:r w:rsidRPr="00F67BB0">
        <w:rPr>
          <w:sz w:val="24"/>
          <w:szCs w:val="24"/>
        </w:rPr>
        <w:t>An M</w:t>
      </w:r>
      <w:r>
        <w:rPr>
          <w:sz w:val="24"/>
          <w:szCs w:val="24"/>
        </w:rPr>
        <w:t>RC</w:t>
      </w:r>
      <w:r w:rsidRPr="00F67BB0">
        <w:rPr>
          <w:sz w:val="24"/>
          <w:szCs w:val="24"/>
        </w:rPr>
        <w:t xml:space="preserve"> is “a financial institution designed to support long term lending activities by Primary Mortgage Lenders (PML). The core function of a MLF is to act as an intermediary between PMLs and the </w:t>
      </w:r>
      <w:r>
        <w:rPr>
          <w:sz w:val="24"/>
          <w:szCs w:val="24"/>
        </w:rPr>
        <w:t>capital</w:t>
      </w:r>
      <w:r w:rsidRPr="00F67BB0">
        <w:rPr>
          <w:sz w:val="24"/>
          <w:szCs w:val="24"/>
        </w:rPr>
        <w:t xml:space="preserve"> market, with the objective of providing long term funds at better rates and under better terms and conditions than PMLs might be able to obtain if acting alone. (Mortgage Liquidity Facility, Housing Finance Intl, Dec 2007 by Olivier, Walley, Simon). The need for such an institution arises because of the mismatch between the liabilities and the assets of PMLs. Capital market funding is an important way to overcome such mismatches and in some cases it can be the only route for institutions with small or no deposit base. The Chagamas of Malaysia (1987) was first such experience in the region. Pakistan is in process of setting up a Mortgage Refinance Company, while Jordan and Egypt are already benefiting from such institutions. The National Housing Bank of India plays a similar role for HFIs.</w:t>
      </w:r>
    </w:p>
    <w:p w:rsidR="00E152C6" w:rsidRDefault="00E152C6" w:rsidP="00C656F9">
      <w:pPr>
        <w:jc w:val="both"/>
        <w:rPr>
          <w:b/>
          <w:bCs/>
        </w:rPr>
      </w:pPr>
    </w:p>
    <w:p w:rsidR="00E152C6" w:rsidRDefault="00E152C6" w:rsidP="001A3B95">
      <w:pPr>
        <w:jc w:val="both"/>
        <w:rPr>
          <w:b/>
          <w:bCs/>
          <w:sz w:val="28"/>
          <w:szCs w:val="28"/>
        </w:rPr>
      </w:pPr>
    </w:p>
    <w:p w:rsidR="00E152C6" w:rsidRDefault="00E152C6" w:rsidP="001A3B95">
      <w:pPr>
        <w:jc w:val="both"/>
        <w:rPr>
          <w:b/>
          <w:bCs/>
          <w:sz w:val="28"/>
          <w:szCs w:val="28"/>
        </w:rPr>
      </w:pPr>
    </w:p>
    <w:p w:rsidR="00E152C6" w:rsidRDefault="00E152C6" w:rsidP="001A3B95">
      <w:pPr>
        <w:jc w:val="both"/>
        <w:rPr>
          <w:b/>
          <w:bCs/>
          <w:sz w:val="28"/>
          <w:szCs w:val="28"/>
        </w:rPr>
      </w:pPr>
    </w:p>
    <w:p w:rsidR="00E152C6" w:rsidRPr="001A3B95" w:rsidRDefault="00E152C6" w:rsidP="001A3B95">
      <w:pPr>
        <w:jc w:val="both"/>
        <w:rPr>
          <w:b/>
          <w:bCs/>
          <w:sz w:val="28"/>
          <w:szCs w:val="28"/>
        </w:rPr>
      </w:pPr>
      <w:r w:rsidRPr="001A3B95">
        <w:rPr>
          <w:b/>
          <w:bCs/>
          <w:sz w:val="28"/>
          <w:szCs w:val="28"/>
        </w:rPr>
        <w:t xml:space="preserve">Pakistan economy </w:t>
      </w:r>
    </w:p>
    <w:p w:rsidR="00E152C6" w:rsidRDefault="00E152C6" w:rsidP="00F67BB0">
      <w:pPr>
        <w:spacing w:line="240" w:lineRule="auto"/>
        <w:jc w:val="both"/>
        <w:rPr>
          <w:sz w:val="24"/>
          <w:szCs w:val="24"/>
        </w:rPr>
      </w:pPr>
      <w:r w:rsidRPr="00F67BB0">
        <w:rPr>
          <w:sz w:val="24"/>
          <w:szCs w:val="24"/>
        </w:rPr>
        <w:t>For the first part of this decade, Pakistan enjoyed relative economic stability and strong growth, but certain structural weaknesses left the economy vulnerable to external shocks. During 2002- 2007, Pakistan’s economy was one of the fastest growing in Asia, annual real GDP growth averaging almost 7% and reached levels of India and China in FY05. The country’s impressive growth during the period was translating into rising per capita income which reached US$ 878 in FY07―an 18.3% increase from FY05. But the expansionary policy stance inflated the economy and left it vulnerable to the external shocks to come. High rates of spending and lower domestic savings increased pressure on internal and external balances, which became unsustainable following the shocks that first came in the form of commodity price spikes and then in a global recession. The twin deficits of 9.6% of GDP for the fiscal deficit and 8.4% for the current account in 2007/08 which followed these commodity price increases were some of the highest in decades. Now with the global financial crises and world-wide recession, Pakistan faces a significant stabilization requirement in order to restore balance and is considering the policy framework to lay the foundation for a return to economic growth. The cumulative effect of these challenges has been a significant loss of growth momentum in the economy. Real GDP growth in the outgoing year is now estimated at 2%, compared to a revised 4.1% in the previous fiscal year.</w:t>
      </w:r>
    </w:p>
    <w:p w:rsidR="00E152C6" w:rsidRDefault="00E152C6" w:rsidP="00F67BB0">
      <w:pPr>
        <w:spacing w:line="240" w:lineRule="auto"/>
        <w:jc w:val="both"/>
        <w:rPr>
          <w:sz w:val="24"/>
          <w:szCs w:val="24"/>
        </w:rPr>
      </w:pPr>
    </w:p>
    <w:p w:rsidR="00E152C6" w:rsidRDefault="00E152C6" w:rsidP="005860C6">
      <w:pPr>
        <w:spacing w:line="240" w:lineRule="auto"/>
        <w:jc w:val="center"/>
        <w:rPr>
          <w:sz w:val="24"/>
          <w:szCs w:val="24"/>
        </w:rPr>
      </w:pPr>
      <w:r w:rsidRPr="00F92E18">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style="width:501pt;height:200.25pt;visibility:visible">
            <v:imagedata r:id="rId7" o:title=""/>
          </v:shape>
        </w:pict>
      </w:r>
    </w:p>
    <w:p w:rsidR="00E152C6" w:rsidRDefault="00E152C6" w:rsidP="00F67BB0">
      <w:pPr>
        <w:spacing w:line="240" w:lineRule="auto"/>
        <w:jc w:val="both"/>
        <w:rPr>
          <w:sz w:val="24"/>
          <w:szCs w:val="24"/>
        </w:rPr>
      </w:pPr>
    </w:p>
    <w:p w:rsidR="00E152C6" w:rsidRPr="00F67BB0" w:rsidRDefault="00E152C6" w:rsidP="00F67BB0">
      <w:pPr>
        <w:spacing w:line="240" w:lineRule="auto"/>
        <w:jc w:val="both"/>
        <w:rPr>
          <w:sz w:val="24"/>
          <w:szCs w:val="24"/>
        </w:rPr>
      </w:pPr>
      <w:r w:rsidRPr="00F67BB0">
        <w:rPr>
          <w:sz w:val="24"/>
          <w:szCs w:val="24"/>
        </w:rPr>
        <w:t>Though per capita income may not be considered an accurate measure of the welfare of the economy it is still considered an important benchmark for the general affordability and well being of the population of a country. Per capita income grew at a fast pace during the last couple of years, because of acceleration in real GDP growth and increase in worker’s remittances, tapering off again during 2008-9. The early signs of improvement in key macroeconomic imbalances started to emerge by the beginning of 2009 indicating progress towards macroeconomic stability in the medium term. The two root causes of instability – i.e. high and unsustainable fiscal and external current account deficits – were addressed by a committed adherence to the macroeconomic stabilization program of the government followed under the Stand By Arrangement (SBA) with IMF. Supported by SBP’s active monetary management, confidence in the economy has strengthened in recent months as foreign exchange reserves have been growing and inflation has been falling</w:t>
      </w:r>
      <w:r>
        <w:rPr>
          <w:sz w:val="24"/>
          <w:szCs w:val="24"/>
        </w:rPr>
        <w:t>.</w:t>
      </w:r>
      <w:r w:rsidRPr="00F67BB0">
        <w:rPr>
          <w:sz w:val="24"/>
          <w:szCs w:val="24"/>
        </w:rPr>
        <w:t xml:space="preserve"> </w:t>
      </w:r>
    </w:p>
    <w:p w:rsidR="00E152C6" w:rsidRDefault="00E152C6" w:rsidP="00F67BB0">
      <w:pPr>
        <w:spacing w:line="240" w:lineRule="auto"/>
        <w:jc w:val="both"/>
        <w:rPr>
          <w:sz w:val="24"/>
          <w:szCs w:val="24"/>
        </w:rPr>
      </w:pPr>
    </w:p>
    <w:p w:rsidR="00E152C6" w:rsidRDefault="00E152C6" w:rsidP="00F67BB0">
      <w:pPr>
        <w:spacing w:line="240" w:lineRule="auto"/>
        <w:jc w:val="both"/>
        <w:rPr>
          <w:sz w:val="24"/>
          <w:szCs w:val="24"/>
        </w:rPr>
      </w:pPr>
    </w:p>
    <w:p w:rsidR="00E152C6" w:rsidRDefault="00E152C6" w:rsidP="00F67BB0">
      <w:pPr>
        <w:spacing w:line="240" w:lineRule="auto"/>
        <w:jc w:val="both"/>
        <w:rPr>
          <w:sz w:val="24"/>
          <w:szCs w:val="24"/>
        </w:rPr>
      </w:pPr>
    </w:p>
    <w:p w:rsidR="00E152C6" w:rsidRDefault="00E152C6" w:rsidP="00F67BB0">
      <w:pPr>
        <w:spacing w:line="240" w:lineRule="auto"/>
        <w:jc w:val="both"/>
        <w:rPr>
          <w:sz w:val="24"/>
          <w:szCs w:val="24"/>
        </w:rPr>
      </w:pPr>
    </w:p>
    <w:p w:rsidR="00E152C6" w:rsidRDefault="00E152C6" w:rsidP="005860C6">
      <w:pPr>
        <w:spacing w:line="240" w:lineRule="auto"/>
        <w:jc w:val="center"/>
        <w:rPr>
          <w:sz w:val="24"/>
          <w:szCs w:val="24"/>
        </w:rPr>
      </w:pPr>
      <w:r w:rsidRPr="00F92E18">
        <w:rPr>
          <w:noProof/>
          <w:sz w:val="24"/>
          <w:szCs w:val="24"/>
        </w:rPr>
        <w:pict>
          <v:shape id="Picture 7" o:spid="_x0000_i1026" type="#_x0000_t75" style="width:465.75pt;height:206.25pt;visibility:visible">
            <v:imagedata r:id="rId8" o:title=""/>
          </v:shape>
        </w:pict>
      </w:r>
    </w:p>
    <w:p w:rsidR="00E152C6" w:rsidRDefault="00E152C6" w:rsidP="00F67BB0">
      <w:pPr>
        <w:spacing w:line="240" w:lineRule="auto"/>
        <w:jc w:val="both"/>
        <w:rPr>
          <w:sz w:val="24"/>
          <w:szCs w:val="24"/>
        </w:rPr>
      </w:pPr>
    </w:p>
    <w:p w:rsidR="00E152C6" w:rsidRDefault="00E152C6" w:rsidP="00F67BB0">
      <w:pPr>
        <w:spacing w:line="240" w:lineRule="auto"/>
        <w:jc w:val="both"/>
      </w:pPr>
      <w:r w:rsidRPr="00F67BB0">
        <w:rPr>
          <w:sz w:val="24"/>
          <w:szCs w:val="24"/>
        </w:rPr>
        <w:t>The downtrend in inflation owes to both, favorable international and domestic developments, as well as a deceleration in domestic demand. The latter, in particular, reflects the monetary tightening by the central bank, as well as the complementary improvement in fiscal discipline, especially post November 2008. These developments and an emerging positive economic outlook led to declining inflation expectations. These were reflected in the downward shift of yield curve and change in the bidding pattern observed in T-bills auctions. The subsiding of upside risks of inflation provided SBP the opportunity to ease monetary policy in April 2009 and then recently in August 2009 to 13%. Nonetheless, by the end of Q2-FY09 some semblance of macroeconomic stability was beginning to emerge, as the government focused on restoring macroeconomic stability, and entered into a SBA with the IMF in support of its reform program. This improvement continued in the third quarter of FY09, as these reforms took hold and the economy benefitted from a sharp decline in international commodity prices and other favorable developments. Inflation began to decline, the current account deficit narrowed substantially with a corresponding stability in the exchange rate, and fiscal discipline was maintained with the fiscal deficit being reported to be 3.1% of GDP for July-March FY09. While</w:t>
      </w:r>
      <w:r>
        <w:t xml:space="preserve"> this improvement in macroeconomic indicators is very encouraging, the economy is not out of the woods yet. Major macroeconomic indicators show underlying weaknesses which, if not addressed, could hamper economic recovery. </w:t>
      </w:r>
    </w:p>
    <w:p w:rsidR="00E152C6" w:rsidRDefault="00E152C6" w:rsidP="00E023DE">
      <w:pPr>
        <w:pStyle w:val="Default"/>
      </w:pPr>
    </w:p>
    <w:p w:rsidR="00E152C6" w:rsidRDefault="00E152C6" w:rsidP="006A05BA">
      <w:pPr>
        <w:pStyle w:val="Default"/>
        <w:rPr>
          <w:b/>
          <w:bCs/>
        </w:rPr>
      </w:pPr>
    </w:p>
    <w:p w:rsidR="00E152C6" w:rsidRPr="00F67BB0" w:rsidRDefault="00E152C6" w:rsidP="00F67BB0">
      <w:pPr>
        <w:spacing w:line="240" w:lineRule="auto"/>
        <w:jc w:val="both"/>
        <w:rPr>
          <w:sz w:val="24"/>
          <w:szCs w:val="24"/>
        </w:rPr>
      </w:pPr>
      <w:r w:rsidRPr="001A3B95">
        <w:rPr>
          <w:b/>
          <w:bCs/>
          <w:sz w:val="28"/>
          <w:szCs w:val="28"/>
        </w:rPr>
        <w:t>Capital Market</w:t>
      </w:r>
      <w:r>
        <w:rPr>
          <w:b/>
          <w:bCs/>
        </w:rPr>
        <w:t xml:space="preserve">: </w:t>
      </w:r>
      <w:r w:rsidRPr="00F67BB0">
        <w:rPr>
          <w:sz w:val="24"/>
          <w:szCs w:val="24"/>
        </w:rPr>
        <w:t xml:space="preserve">Trading in securities enables a match between the differing maturity preferences of lenders and borrowers. Stock markets provide the platform for broad based ownership of financial assets and the reallocation of funds among different sectors. Moreover, a developed bond market helps in providing liquidity to domestic growth and credit expansion. The stock markets of Pakistan witnessed a boom during the 1990s, attributable to the process of financial liberalization resulting in a rise and inflow of foreign portfolio investment, process of privatization and the offering of new attractive shares, phases of political stability ad investor confidence and improvements in the operational efficiency of stock markets. The beginning of the fiscal year 2008 saw good prospects for Pakistan’s capital market regardless of the sub-prime crisis intensifying its grip globally. The stock markets in Pakistan posted good gains and the KSE-100 index gained 11.6% by mid of April 2008 and reached the highest level of 15,676 points. Subsequently, however, the equity market has seen precipitous decline. Prices have nose-dived in response to waning macro-economic fundamentals, worsening law and order situation and international capital flight. Equity investors have seen a fractional recovery of fortunes with an upsurge in the KSE-100 index of 22.5% since the commencement of calendar year 2009. </w:t>
      </w:r>
    </w:p>
    <w:p w:rsidR="00E152C6" w:rsidRDefault="00E152C6" w:rsidP="00F67BB0">
      <w:pPr>
        <w:spacing w:line="240" w:lineRule="auto"/>
        <w:jc w:val="both"/>
        <w:rPr>
          <w:sz w:val="24"/>
          <w:szCs w:val="24"/>
        </w:rPr>
      </w:pPr>
    </w:p>
    <w:p w:rsidR="00E152C6" w:rsidRPr="00F67BB0" w:rsidRDefault="00E152C6" w:rsidP="00F67BB0">
      <w:pPr>
        <w:spacing w:line="240" w:lineRule="auto"/>
        <w:jc w:val="both"/>
        <w:rPr>
          <w:sz w:val="24"/>
          <w:szCs w:val="24"/>
        </w:rPr>
      </w:pPr>
      <w:r w:rsidRPr="00F67BB0">
        <w:rPr>
          <w:sz w:val="24"/>
          <w:szCs w:val="24"/>
        </w:rPr>
        <w:t xml:space="preserve">Pakistan also saw the launch of its first Islamic index. KMI-30 is the first Islamic index apart from Dow Jones Islamic index to provide investor with a suitable benchmark for comparing returns on their Shariah compliant equity investments. The introduction of an Islamic index will support the investor base essential for the growth of Pakistan’s capital markets. </w:t>
      </w:r>
    </w:p>
    <w:p w:rsidR="00E152C6" w:rsidRDefault="00E152C6" w:rsidP="00F67BB0">
      <w:pPr>
        <w:spacing w:line="240" w:lineRule="auto"/>
        <w:jc w:val="both"/>
        <w:rPr>
          <w:sz w:val="24"/>
          <w:szCs w:val="24"/>
        </w:rPr>
      </w:pPr>
    </w:p>
    <w:p w:rsidR="00E152C6" w:rsidRPr="00F67BB0" w:rsidRDefault="00E152C6" w:rsidP="00F67BB0">
      <w:pPr>
        <w:spacing w:line="240" w:lineRule="auto"/>
        <w:jc w:val="both"/>
        <w:rPr>
          <w:sz w:val="24"/>
          <w:szCs w:val="24"/>
        </w:rPr>
      </w:pPr>
      <w:r w:rsidRPr="00F67BB0">
        <w:rPr>
          <w:sz w:val="24"/>
          <w:szCs w:val="24"/>
        </w:rPr>
        <w:t xml:space="preserve">The Debt capital market is at an early stage of development and the size is not very large. Pakistan needs a viable bond market in order to mobilize private savings efficiently for long term investments. Additionally a sizeable portion of government’s financing needs is met by raising funds through </w:t>
      </w:r>
      <w:r>
        <w:rPr>
          <w:b/>
          <w:bCs/>
        </w:rPr>
        <w:t xml:space="preserve">Pakistan Investment Bonds (PIBs). </w:t>
      </w:r>
      <w:r w:rsidRPr="00F67BB0">
        <w:rPr>
          <w:sz w:val="24"/>
          <w:szCs w:val="24"/>
        </w:rPr>
        <w:t xml:space="preserve">During FY07 and FY08, the SBP conducted five and seven auctions respectively; raising Rs. 87.9 billion and Rs. 73.6 billion against the aggregate targets of Rs. 100 billion each. In FY09 (July 2008 – April 2009), Rs. 44.5 billion was mopped up against the target of Rs. 60 billion. In April 2009 auction, the SBP received Rs. 49.3 billion worth of bids, nearly 250% of the target amount. Such bullish participation gives a glimpse of the appetite for investments in PIBs in the near future. </w:t>
      </w:r>
    </w:p>
    <w:p w:rsidR="00E152C6" w:rsidRDefault="00E152C6" w:rsidP="00F67BB0">
      <w:pPr>
        <w:spacing w:line="240" w:lineRule="auto"/>
        <w:jc w:val="both"/>
        <w:rPr>
          <w:sz w:val="24"/>
          <w:szCs w:val="24"/>
        </w:rPr>
      </w:pPr>
    </w:p>
    <w:p w:rsidR="00E152C6" w:rsidRDefault="00E152C6" w:rsidP="00F67BB0">
      <w:pPr>
        <w:spacing w:line="240" w:lineRule="auto"/>
        <w:jc w:val="both"/>
      </w:pPr>
      <w:r w:rsidRPr="00F67BB0">
        <w:rPr>
          <w:sz w:val="24"/>
          <w:szCs w:val="24"/>
        </w:rPr>
        <w:t>The Government issued its first 3-year</w:t>
      </w:r>
      <w:r>
        <w:t xml:space="preserve"> </w:t>
      </w:r>
      <w:r>
        <w:rPr>
          <w:b/>
          <w:bCs/>
        </w:rPr>
        <w:t xml:space="preserve">Ijarah Sukuk Bond </w:t>
      </w:r>
      <w:r w:rsidRPr="00F67BB0">
        <w:rPr>
          <w:sz w:val="24"/>
          <w:szCs w:val="24"/>
        </w:rPr>
        <w:t>in the month of September 2008 in order to diversify the investor base and to tap the potential in the Islamic financial industry. The purpose of the issuance was to raise money from Islamic banks which have grown substantially in the recent years. Moreover, issuance of Sukuk has emerged as an acceptable addition to the limited investment avenues for Islamic banks to meet their SLR eligibility. Collectively, Rs. 38 billion was offered against the total target of Rs. 30 billion which shows profound interest by the market</w:t>
      </w:r>
      <w:r>
        <w:t xml:space="preserve">. </w:t>
      </w:r>
    </w:p>
    <w:p w:rsidR="00E152C6" w:rsidRDefault="00E152C6" w:rsidP="006A05BA">
      <w:pPr>
        <w:pStyle w:val="Default"/>
        <w:rPr>
          <w:rFonts w:ascii="Calibri" w:hAnsi="Calibri" w:cs="Calibri"/>
          <w:color w:val="auto"/>
        </w:rPr>
      </w:pPr>
    </w:p>
    <w:p w:rsidR="00E152C6" w:rsidRDefault="00E152C6" w:rsidP="006A05BA">
      <w:pPr>
        <w:pStyle w:val="Default"/>
      </w:pPr>
      <w:r w:rsidRPr="00F67BB0">
        <w:rPr>
          <w:rFonts w:ascii="Calibri" w:hAnsi="Calibri" w:cs="Calibri"/>
          <w:color w:val="auto"/>
        </w:rPr>
        <w:t>The</w:t>
      </w:r>
      <w:r>
        <w:t xml:space="preserve"> </w:t>
      </w:r>
      <w:r w:rsidRPr="001A3B95">
        <w:rPr>
          <w:rFonts w:ascii="Calibri" w:hAnsi="Calibri" w:cs="Calibri"/>
          <w:b/>
          <w:bCs/>
          <w:color w:val="auto"/>
          <w:sz w:val="22"/>
          <w:szCs w:val="22"/>
        </w:rPr>
        <w:t>National Savings Scheme (NSS</w:t>
      </w:r>
      <w:r w:rsidRPr="00F67BB0">
        <w:rPr>
          <w:rFonts w:ascii="Calibri" w:hAnsi="Calibri" w:cs="Calibri"/>
          <w:color w:val="auto"/>
        </w:rPr>
        <w:t>) is responsible for the sale of NSS products to the general public through a network of 367 branches across the country. These are long term government papers, which benefit from both high yields and an implicit put option. As of March 2009, the total outstanding balance of the NSS instruments was Rs. 1324 billion, equivalent to 35% of total domestic debt. The government has recently allowed institutional investors to invest in these instruments. Keeping in view the rising interest rates, the government had raised the nominal rates of return on most of the saving schemes during the last fiscal year</w:t>
      </w:r>
      <w:r>
        <w:t xml:space="preserve">. </w:t>
      </w:r>
    </w:p>
    <w:p w:rsidR="00E152C6" w:rsidRDefault="00E152C6" w:rsidP="006A05BA">
      <w:pPr>
        <w:pStyle w:val="Default"/>
        <w:rPr>
          <w:rFonts w:ascii="Calibri" w:hAnsi="Calibri" w:cs="Calibri"/>
          <w:b/>
          <w:bCs/>
          <w:color w:val="auto"/>
          <w:sz w:val="28"/>
          <w:szCs w:val="28"/>
        </w:rPr>
      </w:pPr>
    </w:p>
    <w:p w:rsidR="00E152C6" w:rsidRDefault="00E152C6" w:rsidP="001C5B4A">
      <w:pPr>
        <w:pStyle w:val="Default"/>
        <w:jc w:val="both"/>
      </w:pPr>
      <w:r w:rsidRPr="001A3B95">
        <w:rPr>
          <w:rFonts w:ascii="Calibri" w:hAnsi="Calibri" w:cs="Calibri"/>
          <w:b/>
          <w:bCs/>
          <w:color w:val="auto"/>
          <w:sz w:val="28"/>
          <w:szCs w:val="28"/>
        </w:rPr>
        <w:t>Financial Sector:</w:t>
      </w:r>
      <w:r>
        <w:rPr>
          <w:b/>
          <w:bCs/>
        </w:rPr>
        <w:t xml:space="preserve"> </w:t>
      </w:r>
      <w:r w:rsidRPr="00F67BB0">
        <w:rPr>
          <w:rFonts w:ascii="Calibri" w:hAnsi="Calibri" w:cs="Calibri"/>
          <w:color w:val="auto"/>
        </w:rPr>
        <w:t>Pakistan’s banking sector serves around 6 million borrowers and 25 million depositors, implying a penetration rate of 3.6% and 15% respectively. Almost 81% of banking assets are in private hands. The present foreign stake comes to 47% of total paid-up capital of all Financial Institution (FIs) regulated by SBP</w:t>
      </w:r>
      <w:r>
        <w:t xml:space="preserve">. </w:t>
      </w:r>
    </w:p>
    <w:p w:rsidR="00E152C6" w:rsidRPr="00F67BB0" w:rsidRDefault="00E152C6" w:rsidP="001C5B4A">
      <w:pPr>
        <w:pStyle w:val="Default"/>
        <w:jc w:val="both"/>
        <w:rPr>
          <w:rFonts w:ascii="Calibri" w:hAnsi="Calibri" w:cs="Calibri"/>
          <w:color w:val="auto"/>
        </w:rPr>
      </w:pPr>
      <w:r w:rsidRPr="00F67BB0">
        <w:rPr>
          <w:rFonts w:ascii="Calibri" w:hAnsi="Calibri" w:cs="Calibri"/>
          <w:color w:val="auto"/>
        </w:rPr>
        <w:t xml:space="preserve">The Pakistani banking sector presently consists of a total of 40 banks accounting for assets of Rs. 5713 billion with the top ten banks accounting for 73% of the total assets. In March 09 the industry recorded a total aggregate CAR of 12.9% compared to the required 9%. The CAR of the banking system improved to 12.9% up by 0.7% points (12.3% in Mar-08) due to increase in eligible capital and decrease in Risk Weighted Assets (RWAs). </w:t>
      </w:r>
    </w:p>
    <w:p w:rsidR="00E152C6" w:rsidRDefault="00E152C6" w:rsidP="001C5B4A">
      <w:pPr>
        <w:widowControl w:val="0"/>
        <w:autoSpaceDE w:val="0"/>
        <w:autoSpaceDN w:val="0"/>
        <w:adjustRightInd w:val="0"/>
        <w:spacing w:before="253" w:line="276" w:lineRule="exact"/>
        <w:jc w:val="both"/>
        <w:rPr>
          <w:rFonts w:ascii="Arial Bold" w:hAnsi="Arial Bold" w:cs="Arial Bold"/>
          <w:color w:val="000000"/>
          <w:w w:val="109"/>
          <w:sz w:val="24"/>
          <w:szCs w:val="24"/>
        </w:rPr>
      </w:pPr>
    </w:p>
    <w:p w:rsidR="00E152C6" w:rsidRDefault="00E152C6" w:rsidP="001C5B4A">
      <w:pPr>
        <w:pStyle w:val="Default"/>
        <w:jc w:val="both"/>
        <w:rPr>
          <w:rFonts w:ascii="Calibri" w:hAnsi="Calibri" w:cs="Calibri"/>
          <w:b/>
          <w:bCs/>
          <w:color w:val="auto"/>
          <w:sz w:val="28"/>
          <w:szCs w:val="28"/>
        </w:rPr>
      </w:pPr>
    </w:p>
    <w:p w:rsidR="00E152C6" w:rsidRDefault="00E152C6" w:rsidP="001C5B4A">
      <w:pPr>
        <w:pStyle w:val="Default"/>
        <w:jc w:val="both"/>
        <w:rPr>
          <w:rFonts w:ascii="Calibri" w:hAnsi="Calibri" w:cs="Calibri"/>
          <w:b/>
          <w:bCs/>
          <w:color w:val="auto"/>
          <w:sz w:val="28"/>
          <w:szCs w:val="28"/>
        </w:rPr>
      </w:pPr>
    </w:p>
    <w:p w:rsidR="00E152C6" w:rsidRDefault="00E152C6" w:rsidP="001C5B4A">
      <w:pPr>
        <w:pStyle w:val="Default"/>
        <w:jc w:val="both"/>
        <w:rPr>
          <w:rFonts w:ascii="Calibri" w:hAnsi="Calibri" w:cs="Calibri"/>
          <w:b/>
          <w:bCs/>
          <w:color w:val="auto"/>
          <w:sz w:val="28"/>
          <w:szCs w:val="28"/>
        </w:rPr>
      </w:pPr>
    </w:p>
    <w:p w:rsidR="00E152C6" w:rsidRDefault="00E152C6" w:rsidP="001C5B4A">
      <w:pPr>
        <w:pStyle w:val="Default"/>
        <w:jc w:val="both"/>
        <w:rPr>
          <w:rFonts w:ascii="Calibri" w:hAnsi="Calibri" w:cs="Calibri"/>
          <w:b/>
          <w:bCs/>
          <w:color w:val="auto"/>
          <w:sz w:val="28"/>
          <w:szCs w:val="28"/>
        </w:rPr>
      </w:pPr>
    </w:p>
    <w:p w:rsidR="00E152C6" w:rsidRDefault="00E152C6" w:rsidP="001C5B4A">
      <w:pPr>
        <w:pStyle w:val="Default"/>
        <w:jc w:val="both"/>
        <w:rPr>
          <w:rFonts w:ascii="Calibri" w:hAnsi="Calibri" w:cs="Calibri"/>
          <w:b/>
          <w:bCs/>
          <w:color w:val="auto"/>
          <w:sz w:val="28"/>
          <w:szCs w:val="28"/>
        </w:rPr>
      </w:pPr>
      <w:r w:rsidRPr="001A3B95">
        <w:rPr>
          <w:rFonts w:ascii="Calibri" w:hAnsi="Calibri" w:cs="Calibri"/>
          <w:b/>
          <w:bCs/>
          <w:color w:val="auto"/>
          <w:sz w:val="28"/>
          <w:szCs w:val="28"/>
        </w:rPr>
        <w:t>Mortgage Market</w:t>
      </w:r>
      <w:r>
        <w:rPr>
          <w:rFonts w:ascii="Calibri" w:hAnsi="Calibri" w:cs="Calibri"/>
          <w:b/>
          <w:bCs/>
          <w:color w:val="auto"/>
          <w:sz w:val="28"/>
          <w:szCs w:val="28"/>
        </w:rPr>
        <w:t xml:space="preserve"> of Pakistan </w:t>
      </w:r>
    </w:p>
    <w:p w:rsidR="00E152C6" w:rsidRPr="00F67BB0" w:rsidRDefault="00E152C6" w:rsidP="001C5B4A">
      <w:pPr>
        <w:pStyle w:val="Default"/>
        <w:jc w:val="both"/>
        <w:rPr>
          <w:rFonts w:ascii="Calibri" w:hAnsi="Calibri" w:cs="Calibri"/>
          <w:color w:val="auto"/>
        </w:rPr>
      </w:pPr>
      <w:r>
        <w:rPr>
          <w:b/>
          <w:bCs/>
        </w:rPr>
        <w:t xml:space="preserve"> </w:t>
      </w:r>
      <w:r w:rsidRPr="00F67BB0">
        <w:rPr>
          <w:rFonts w:ascii="Calibri" w:hAnsi="Calibri" w:cs="Calibri"/>
          <w:color w:val="auto"/>
        </w:rPr>
        <w:t>In the last three decades Pakistan is facing a high rate of urbanization and population growth. The consequences of such unprecedented changes are seen in the form of unplanned, unregulated and uncontrolled urbanization which pose a major problem to the city dwellers. Provision of adequate housing for the low-income groups is a perpetual problem in the cities in spite of the fact that access to appropriate housing is a basic human need. Pakistan, with a population of over 165 million people, faces a critical shortage of housing units. According to conservative estimates, there is already a backlog of 6 million housing units, and the backlog increases by 270,000 units every year as a result of a number of factors including the limited availability of mortgage finance and developer finance. Due to the high rate of economic growth, entry of commercial banks in house finance and increase in remittances in recent years the housing sector is facing a problem of supply shortages and as a result escalating prices. The increase in demand for new housing unit and the supply shortages has led to escalating prices (notwithstanding, this fact remains that the housing sector in Pakistan is grossly underdeveloped and undercapitalized). One of the ways of improving capitalization of the sector is the provision of housing loans, thereby leveraging home ownership. Although the nascent primary mortgage market in Pakistan saw an impressive growth during the 2003-</w:t>
      </w:r>
      <w:r>
        <w:rPr>
          <w:rFonts w:ascii="Calibri" w:hAnsi="Calibri" w:cs="Calibri"/>
          <w:color w:val="auto"/>
        </w:rPr>
        <w:t>0</w:t>
      </w:r>
      <w:r w:rsidRPr="00F67BB0">
        <w:rPr>
          <w:rFonts w:ascii="Calibri" w:hAnsi="Calibri" w:cs="Calibri"/>
          <w:color w:val="auto"/>
        </w:rPr>
        <w:t xml:space="preserve">9 period with </w:t>
      </w:r>
      <w:r>
        <w:rPr>
          <w:rFonts w:ascii="Calibri" w:hAnsi="Calibri" w:cs="Calibri"/>
          <w:color w:val="auto"/>
        </w:rPr>
        <w:t>Mortgage Debt Outstanding (</w:t>
      </w:r>
      <w:r w:rsidRPr="00F67BB0">
        <w:rPr>
          <w:rFonts w:ascii="Calibri" w:hAnsi="Calibri" w:cs="Calibri"/>
          <w:color w:val="auto"/>
        </w:rPr>
        <w:t>MDO</w:t>
      </w:r>
      <w:r>
        <w:rPr>
          <w:rFonts w:ascii="Calibri" w:hAnsi="Calibri" w:cs="Calibri"/>
          <w:color w:val="auto"/>
        </w:rPr>
        <w:t>)</w:t>
      </w:r>
      <w:r w:rsidRPr="00F67BB0">
        <w:rPr>
          <w:rFonts w:ascii="Calibri" w:hAnsi="Calibri" w:cs="Calibri"/>
          <w:color w:val="auto"/>
        </w:rPr>
        <w:t xml:space="preserve"> increasing 300% (</w:t>
      </w:r>
      <w:r>
        <w:rPr>
          <w:rFonts w:ascii="Calibri" w:hAnsi="Calibri" w:cs="Calibri"/>
          <w:color w:val="auto"/>
        </w:rPr>
        <w:t>Compound Annual Growth Rate-</w:t>
      </w:r>
      <w:r w:rsidRPr="00F67BB0">
        <w:rPr>
          <w:rFonts w:ascii="Calibri" w:hAnsi="Calibri" w:cs="Calibri"/>
          <w:color w:val="auto"/>
        </w:rPr>
        <w:t xml:space="preserve">CAGR of 43%) and the number of banks offering mortgages increasing from 10 to 28, the total MDO in the country (US$1 billion as of June 2009) is still very small and remains below 0.8% of the country's GDP. In comparison, the average MDO/GDP ratio of other countries in the MENA region is 4.7% while in developed countries like the UK and the US, the ratio is 86.3% and 78%. </w:t>
      </w:r>
    </w:p>
    <w:p w:rsidR="00E152C6" w:rsidRDefault="00E152C6" w:rsidP="001C5B4A">
      <w:pPr>
        <w:pStyle w:val="Default"/>
        <w:jc w:val="both"/>
        <w:rPr>
          <w:rFonts w:ascii="Calibri" w:hAnsi="Calibri" w:cs="Calibri"/>
          <w:color w:val="auto"/>
        </w:rPr>
      </w:pPr>
    </w:p>
    <w:p w:rsidR="00E152C6" w:rsidRDefault="00E152C6" w:rsidP="005860C6">
      <w:pPr>
        <w:pStyle w:val="Default"/>
        <w:jc w:val="center"/>
        <w:rPr>
          <w:rFonts w:ascii="Calibri" w:hAnsi="Calibri" w:cs="Calibri"/>
          <w:color w:val="auto"/>
        </w:rPr>
      </w:pPr>
      <w:r w:rsidRPr="00F92E18">
        <w:rPr>
          <w:rFonts w:ascii="Calibri" w:hAnsi="Calibri" w:cs="Calibri"/>
          <w:noProof/>
          <w:color w:val="943634"/>
        </w:rPr>
        <w:pict>
          <v:shape id="Picture 3" o:spid="_x0000_i1027" type="#_x0000_t75" style="width:438.75pt;height:187.5pt;visibility:visible">
            <v:imagedata r:id="rId9" o:title=""/>
          </v:shape>
        </w:pict>
      </w:r>
    </w:p>
    <w:p w:rsidR="00E152C6" w:rsidRDefault="00E152C6" w:rsidP="001C5B4A">
      <w:pPr>
        <w:pStyle w:val="Default"/>
        <w:jc w:val="both"/>
        <w:rPr>
          <w:rFonts w:ascii="Calibri" w:hAnsi="Calibri" w:cs="Calibri"/>
          <w:color w:val="auto"/>
        </w:rPr>
      </w:pPr>
    </w:p>
    <w:p w:rsidR="00E152C6" w:rsidRPr="00F67BB0" w:rsidRDefault="00E152C6" w:rsidP="001C5B4A">
      <w:pPr>
        <w:pStyle w:val="Default"/>
        <w:jc w:val="both"/>
        <w:rPr>
          <w:rFonts w:ascii="Calibri" w:hAnsi="Calibri" w:cs="Calibri"/>
          <w:color w:val="auto"/>
        </w:rPr>
      </w:pPr>
      <w:r w:rsidRPr="00F67BB0">
        <w:rPr>
          <w:rFonts w:ascii="Calibri" w:hAnsi="Calibri" w:cs="Calibri"/>
          <w:color w:val="auto"/>
        </w:rPr>
        <w:t xml:space="preserve">The average loan size of banks for house finance varies from Rs. 1.0 million to Rs. 2.5 million per borrower, whereas, the average loan size of HBFC Limited remains at around Rs.750,000 per borrower during the last five financial years. This suggests that the HBFC caters to the financial needs of middle or lower middle classes, whereas the banks are generally catering to the upper income class. No upper or lower limit with respect to application of mark-up has been imposed on commercial banks by the SBP. The banks may charge the rate determined by their cost of funds and market dynamics. The five years data shows that the mark-up was in lower range during 2004-6. Presently, the average mortgage rates reported by PMLs are between 17.5-19%. </w:t>
      </w:r>
    </w:p>
    <w:p w:rsidR="00E152C6" w:rsidRDefault="00E152C6" w:rsidP="001C5B4A">
      <w:pPr>
        <w:pStyle w:val="Default"/>
        <w:jc w:val="both"/>
        <w:rPr>
          <w:rFonts w:ascii="Calibri" w:hAnsi="Calibri" w:cs="Calibri"/>
          <w:color w:val="auto"/>
        </w:rPr>
      </w:pPr>
    </w:p>
    <w:p w:rsidR="00E152C6" w:rsidRDefault="00E152C6" w:rsidP="001C5B4A">
      <w:pPr>
        <w:pStyle w:val="Default"/>
        <w:jc w:val="both"/>
        <w:rPr>
          <w:rFonts w:ascii="Calibri" w:hAnsi="Calibri" w:cs="Calibri"/>
          <w:color w:val="auto"/>
        </w:rPr>
      </w:pPr>
      <w:r w:rsidRPr="00F67BB0">
        <w:rPr>
          <w:rFonts w:ascii="Calibri" w:hAnsi="Calibri" w:cs="Calibri"/>
          <w:color w:val="auto"/>
        </w:rPr>
        <w:t xml:space="preserve">One of the major constraints to the development of the housing finance sector is the lack of clear titles for a large portion of properties and land in the country. Other important constraints include: </w:t>
      </w:r>
    </w:p>
    <w:p w:rsidR="00E152C6" w:rsidRPr="00F67BB0" w:rsidRDefault="00E152C6" w:rsidP="001C5B4A">
      <w:pPr>
        <w:pStyle w:val="Default"/>
        <w:jc w:val="both"/>
        <w:rPr>
          <w:rFonts w:ascii="Calibri" w:hAnsi="Calibri" w:cs="Calibri"/>
          <w:color w:val="auto"/>
        </w:rPr>
      </w:pPr>
    </w:p>
    <w:p w:rsidR="00E152C6" w:rsidRPr="00F67BB0" w:rsidRDefault="00E152C6" w:rsidP="00240820">
      <w:pPr>
        <w:pStyle w:val="Default"/>
        <w:numPr>
          <w:ilvl w:val="0"/>
          <w:numId w:val="7"/>
        </w:numPr>
        <w:jc w:val="both"/>
        <w:rPr>
          <w:rFonts w:ascii="Calibri" w:hAnsi="Calibri" w:cs="Calibri"/>
          <w:color w:val="auto"/>
        </w:rPr>
      </w:pPr>
      <w:r w:rsidRPr="00F67BB0">
        <w:rPr>
          <w:rFonts w:ascii="Calibri" w:hAnsi="Calibri" w:cs="Calibri"/>
          <w:color w:val="auto"/>
        </w:rPr>
        <w:t xml:space="preserve">Low affordability (income), </w:t>
      </w:r>
    </w:p>
    <w:p w:rsidR="00E152C6" w:rsidRPr="00F67BB0" w:rsidRDefault="00E152C6" w:rsidP="00240820">
      <w:pPr>
        <w:pStyle w:val="Default"/>
        <w:numPr>
          <w:ilvl w:val="0"/>
          <w:numId w:val="7"/>
        </w:numPr>
        <w:jc w:val="both"/>
        <w:rPr>
          <w:rFonts w:ascii="Calibri" w:hAnsi="Calibri" w:cs="Calibri"/>
          <w:color w:val="auto"/>
        </w:rPr>
      </w:pPr>
      <w:r w:rsidRPr="00F67BB0">
        <w:rPr>
          <w:rFonts w:ascii="Calibri" w:hAnsi="Calibri" w:cs="Calibri"/>
          <w:color w:val="auto"/>
        </w:rPr>
        <w:t xml:space="preserve">Slow and weak foreclosure process </w:t>
      </w:r>
    </w:p>
    <w:p w:rsidR="00E152C6" w:rsidRPr="00F67BB0" w:rsidRDefault="00E152C6" w:rsidP="00240820">
      <w:pPr>
        <w:pStyle w:val="Default"/>
        <w:numPr>
          <w:ilvl w:val="0"/>
          <w:numId w:val="7"/>
        </w:numPr>
        <w:jc w:val="both"/>
        <w:rPr>
          <w:rFonts w:ascii="Calibri" w:hAnsi="Calibri" w:cs="Calibri"/>
          <w:color w:val="auto"/>
        </w:rPr>
      </w:pPr>
      <w:r w:rsidRPr="00F67BB0">
        <w:rPr>
          <w:rFonts w:ascii="Calibri" w:hAnsi="Calibri" w:cs="Calibri"/>
          <w:color w:val="auto"/>
        </w:rPr>
        <w:t xml:space="preserve">Lack of supply of low cost housing stock </w:t>
      </w:r>
    </w:p>
    <w:p w:rsidR="00E152C6" w:rsidRPr="00F67BB0" w:rsidRDefault="00E152C6" w:rsidP="00240820">
      <w:pPr>
        <w:pStyle w:val="Default"/>
        <w:numPr>
          <w:ilvl w:val="0"/>
          <w:numId w:val="7"/>
        </w:numPr>
        <w:rPr>
          <w:rFonts w:ascii="Calibri" w:hAnsi="Calibri" w:cs="Calibri"/>
          <w:color w:val="auto"/>
        </w:rPr>
      </w:pPr>
      <w:r w:rsidRPr="00F67BB0">
        <w:rPr>
          <w:rFonts w:ascii="Calibri" w:hAnsi="Calibri" w:cs="Calibri"/>
          <w:color w:val="auto"/>
        </w:rPr>
        <w:t xml:space="preserve">Lack of efficient access to long-term sources of funding </w:t>
      </w:r>
    </w:p>
    <w:p w:rsidR="00E152C6" w:rsidRPr="00F67BB0" w:rsidRDefault="00E152C6" w:rsidP="006A05BA">
      <w:pPr>
        <w:pStyle w:val="Default"/>
        <w:rPr>
          <w:rFonts w:ascii="Calibri" w:hAnsi="Calibri" w:cs="Calibri"/>
          <w:color w:val="auto"/>
        </w:rPr>
      </w:pPr>
    </w:p>
    <w:p w:rsidR="00E152C6" w:rsidRPr="001C5B4A" w:rsidRDefault="00E152C6" w:rsidP="001C5B4A">
      <w:pPr>
        <w:pStyle w:val="Default"/>
        <w:jc w:val="both"/>
        <w:rPr>
          <w:rFonts w:ascii="Calibri" w:hAnsi="Calibri" w:cs="Calibri"/>
          <w:color w:val="auto"/>
        </w:rPr>
      </w:pPr>
      <w:r w:rsidRPr="00F67BB0">
        <w:rPr>
          <w:rFonts w:ascii="Calibri" w:hAnsi="Calibri" w:cs="Calibri"/>
          <w:color w:val="auto"/>
        </w:rPr>
        <w:t>During the last few years, the government has taken some positive steps to encourage the development of a more stable and vibrant housing sector. It has enacted the Financial Institutions (Recovery of Finances Ordinance) 2001; liberalized and strengthened the regime of mortgage lending by lifting various regulatory restrictions and designing an appropriate prudential framework; published</w:t>
      </w:r>
      <w:r>
        <w:t xml:space="preserve"> </w:t>
      </w:r>
      <w:r w:rsidRPr="001C5B4A">
        <w:rPr>
          <w:rFonts w:ascii="Calibri" w:hAnsi="Calibri" w:cs="Calibri"/>
          <w:color w:val="auto"/>
        </w:rPr>
        <w:t xml:space="preserve">the 2001 National Housing </w:t>
      </w:r>
      <w:r w:rsidRPr="00F67BB0">
        <w:rPr>
          <w:rFonts w:ascii="Calibri" w:hAnsi="Calibri" w:cs="Calibri"/>
          <w:color w:val="auto"/>
        </w:rPr>
        <w:t>Policy (NHP-2001); and granted fiscal incentives to facilitate mortgagors and banks in the federal budget 2003–04. As regulator, the SBP has also kept abreast of the problems faced by the PMLs and introduced many conducive prudential measures to promote housing finance in the country</w:t>
      </w:r>
      <w:r w:rsidRPr="001C5B4A">
        <w:rPr>
          <w:rFonts w:ascii="Calibri" w:hAnsi="Calibri" w:cs="Calibri"/>
          <w:color w:val="auto"/>
        </w:rPr>
        <w:t xml:space="preserve">. </w:t>
      </w:r>
    </w:p>
    <w:p w:rsidR="00E152C6" w:rsidRPr="001C5B4A" w:rsidRDefault="00E152C6" w:rsidP="001C5B4A">
      <w:pPr>
        <w:pStyle w:val="Default"/>
        <w:jc w:val="both"/>
        <w:rPr>
          <w:rFonts w:ascii="Calibri" w:hAnsi="Calibri" w:cs="Calibri"/>
          <w:color w:val="auto"/>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Pr="001A3B95" w:rsidRDefault="00E152C6" w:rsidP="00415344">
      <w:pPr>
        <w:pStyle w:val="Default"/>
        <w:rPr>
          <w:rFonts w:ascii="Calibri" w:hAnsi="Calibri" w:cs="Calibri"/>
          <w:b/>
          <w:bCs/>
          <w:color w:val="auto"/>
          <w:sz w:val="28"/>
          <w:szCs w:val="28"/>
        </w:rPr>
      </w:pPr>
      <w:r w:rsidRPr="001A3B95">
        <w:rPr>
          <w:rFonts w:ascii="Calibri" w:hAnsi="Calibri" w:cs="Calibri"/>
          <w:b/>
          <w:bCs/>
          <w:color w:val="auto"/>
          <w:sz w:val="28"/>
          <w:szCs w:val="28"/>
        </w:rPr>
        <w:t xml:space="preserve">Mortgage Liquidity Facility in Pakistan </w:t>
      </w:r>
    </w:p>
    <w:p w:rsidR="00E152C6" w:rsidRDefault="00E152C6" w:rsidP="00545C37">
      <w:pPr>
        <w:pStyle w:val="Default"/>
        <w:jc w:val="both"/>
        <w:rPr>
          <w:rFonts w:ascii="Calibri" w:hAnsi="Calibri" w:cs="Calibri"/>
          <w:color w:val="auto"/>
        </w:rPr>
      </w:pPr>
      <w:r>
        <w:rPr>
          <w:rFonts w:ascii="Calibri" w:hAnsi="Calibri" w:cs="Calibri"/>
          <w:color w:val="auto"/>
        </w:rPr>
        <w:t xml:space="preserve">State Bank of Pakistan (SBP) </w:t>
      </w:r>
      <w:r w:rsidRPr="00D022B2">
        <w:rPr>
          <w:rFonts w:ascii="Calibri" w:hAnsi="Calibri" w:cs="Calibri"/>
          <w:color w:val="auto"/>
        </w:rPr>
        <w:t xml:space="preserve">is working on a key initiative of creating a secondary mortgage market by establishing a Mortgage Refinance Company (MRC). </w:t>
      </w:r>
      <w:r>
        <w:rPr>
          <w:rFonts w:ascii="Calibri" w:hAnsi="Calibri" w:cs="Calibri"/>
          <w:color w:val="auto"/>
        </w:rPr>
        <w:t>The business model and financial feasibility of MRC have been developed and SBP is currently in process of seeking equity and funding commitments from commercial banks and multilaterals.</w:t>
      </w:r>
    </w:p>
    <w:p w:rsidR="00E152C6" w:rsidRDefault="00E152C6" w:rsidP="00545C37">
      <w:pPr>
        <w:pStyle w:val="Default"/>
        <w:jc w:val="both"/>
        <w:rPr>
          <w:rFonts w:ascii="Calibri" w:hAnsi="Calibri" w:cs="Calibri"/>
          <w:color w:val="auto"/>
        </w:rPr>
      </w:pPr>
    </w:p>
    <w:p w:rsidR="00E152C6" w:rsidRDefault="00E152C6" w:rsidP="00545C37">
      <w:pPr>
        <w:pStyle w:val="Default"/>
        <w:jc w:val="both"/>
        <w:rPr>
          <w:spacing w:val="-3"/>
        </w:rPr>
      </w:pPr>
      <w:r w:rsidRPr="00F67BB0">
        <w:rPr>
          <w:rFonts w:ascii="Calibri" w:hAnsi="Calibri" w:cs="Calibri"/>
          <w:color w:val="auto"/>
        </w:rPr>
        <w:t xml:space="preserve">The creation </w:t>
      </w:r>
      <w:r>
        <w:rPr>
          <w:rFonts w:ascii="Calibri" w:hAnsi="Calibri" w:cs="Calibri"/>
          <w:color w:val="auto"/>
        </w:rPr>
        <w:t xml:space="preserve">of </w:t>
      </w:r>
      <w:r w:rsidRPr="00F67BB0">
        <w:rPr>
          <w:rFonts w:ascii="Calibri" w:hAnsi="Calibri" w:cs="Calibri"/>
          <w:color w:val="auto"/>
        </w:rPr>
        <w:t xml:space="preserve">a mortgage liquidity facility being called PMRC would help address the long term funding constraint hindering the growth of the primary mortgage market. PMRC would serve as a secure source of long term funding at attractive rates while ensuring sound lending habits amongst PMLs. This would help reduce any maturity mismatch risk for PMLs, </w:t>
      </w:r>
      <w:r>
        <w:rPr>
          <w:rFonts w:ascii="Calibri" w:hAnsi="Calibri" w:cs="Calibri"/>
          <w:color w:val="auto"/>
        </w:rPr>
        <w:t>ensure</w:t>
      </w:r>
      <w:r w:rsidRPr="00F67BB0">
        <w:rPr>
          <w:rFonts w:ascii="Calibri" w:hAnsi="Calibri" w:cs="Calibri"/>
          <w:color w:val="auto"/>
        </w:rPr>
        <w:t xml:space="preserve"> the availability of fixed </w:t>
      </w:r>
      <w:r>
        <w:rPr>
          <w:rFonts w:ascii="Calibri" w:hAnsi="Calibri" w:cs="Calibri"/>
          <w:color w:val="auto"/>
        </w:rPr>
        <w:t xml:space="preserve">rate and hybrid </w:t>
      </w:r>
      <w:r w:rsidRPr="00F67BB0">
        <w:rPr>
          <w:rFonts w:ascii="Calibri" w:hAnsi="Calibri" w:cs="Calibri"/>
          <w:color w:val="auto"/>
        </w:rPr>
        <w:t>mortgages and increase available loan terms. This would in turn help improve the affordability of mortgages and extend the number of qualifying borrowers and result in the expansion of the primary mortgage market and thus home ownership in the country. In emerging markets like Pakistan, where interest rates and inflation are relatively volatile and can dampen confidence in the markets, the availability of long term fixed rates by mortgage liquidity facilities like PMRC can instill a degree of certainty which can help the markets develop with confidence. In times of a credit crunch, PMRC type facilities can also help a bank cover an unexpected short-term deposit outflow (or other temporary losses  of  funds),  thereby  avoiding  potentially  costly  short-term  borrowing  or  asset  liquidation. Additionally, PMRC can act as a conduit to efficiently connect long term investors with PMLs generating long term assets in Pakistan, thus helping develop a debt market and a longer term yield curve. It is proposed that PMRC will provide funding to both conventional and Islamic PMLs and its existence is expected to act as a comfort for PMLs (will be assured of a funding source in the event of a liquidity shortage), encouraging them to provide more housing loans</w:t>
      </w:r>
      <w:r>
        <w:rPr>
          <w:spacing w:val="-3"/>
        </w:rPr>
        <w:t>.</w:t>
      </w:r>
    </w:p>
    <w:p w:rsidR="00E152C6" w:rsidRDefault="00E152C6" w:rsidP="00545C37">
      <w:pPr>
        <w:pStyle w:val="Default"/>
        <w:jc w:val="both"/>
        <w:rPr>
          <w:spacing w:val="-3"/>
        </w:rPr>
      </w:pPr>
    </w:p>
    <w:p w:rsidR="00E152C6" w:rsidRDefault="00E152C6" w:rsidP="00545C37">
      <w:pPr>
        <w:pStyle w:val="Default"/>
        <w:jc w:val="both"/>
        <w:rPr>
          <w:rFonts w:ascii="Calibri" w:hAnsi="Calibri" w:cs="Calibri"/>
          <w:color w:val="auto"/>
        </w:rPr>
      </w:pPr>
      <w:r w:rsidRPr="004E5DA9">
        <w:rPr>
          <w:rFonts w:ascii="Calibri" w:hAnsi="Calibri" w:cs="Calibri"/>
          <w:color w:val="auto"/>
        </w:rPr>
        <w:t>Potential benefits of MRC to various segments are tabulated hereunder.</w:t>
      </w:r>
    </w:p>
    <w:p w:rsidR="00E152C6" w:rsidRPr="004E5DA9" w:rsidRDefault="00E152C6" w:rsidP="00545C37">
      <w:pPr>
        <w:pStyle w:val="Default"/>
        <w:jc w:val="both"/>
        <w:rPr>
          <w:rFonts w:ascii="Calibri" w:hAnsi="Calibri" w:cs="Calibri"/>
          <w:color w:val="auto"/>
        </w:rPr>
      </w:pPr>
      <w:r w:rsidRPr="004E5DA9">
        <w:rPr>
          <w:rFonts w:ascii="Calibri" w:hAnsi="Calibri" w:cs="Calibri"/>
          <w:color w:val="auto"/>
        </w:rPr>
        <w:t xml:space="preserve"> </w:t>
      </w:r>
      <w:r w:rsidRPr="00F92E18">
        <w:rPr>
          <w:rFonts w:ascii="Calibri" w:hAnsi="Calibri" w:cs="Calibri"/>
          <w:noProof/>
          <w:color w:val="auto"/>
        </w:rPr>
        <w:pict>
          <v:shape id="Object 1" o:spid="_x0000_i1028" type="#_x0000_t75" style="width:539.25pt;height:249.75pt;visibility:visible">
            <v:imagedata r:id="rId10" o:title="" croptop="-490f" cropbottom="-159f" cropleft="-351f" cropright="-554f"/>
            <o:lock v:ext="edit" aspectratio="f"/>
          </v:shape>
        </w:pict>
      </w:r>
    </w:p>
    <w:p w:rsidR="00E152C6" w:rsidRDefault="00E152C6" w:rsidP="00946690">
      <w:pPr>
        <w:widowControl w:val="0"/>
        <w:autoSpaceDE w:val="0"/>
        <w:autoSpaceDN w:val="0"/>
        <w:adjustRightInd w:val="0"/>
        <w:spacing w:line="414" w:lineRule="exact"/>
        <w:ind w:left="720"/>
        <w:jc w:val="both"/>
        <w:rPr>
          <w:rFonts w:ascii="Arial" w:hAnsi="Arial" w:cs="Arial"/>
          <w:color w:val="000000"/>
          <w:spacing w:val="-3"/>
          <w:sz w:val="24"/>
          <w:szCs w:val="24"/>
        </w:rPr>
      </w:pPr>
    </w:p>
    <w:p w:rsidR="00E152C6" w:rsidRPr="00240820" w:rsidRDefault="00E152C6" w:rsidP="003729CA">
      <w:pPr>
        <w:pStyle w:val="Default"/>
        <w:jc w:val="both"/>
      </w:pPr>
    </w:p>
    <w:p w:rsidR="00E152C6" w:rsidRDefault="00E152C6" w:rsidP="00240820">
      <w:pPr>
        <w:autoSpaceDE w:val="0"/>
        <w:autoSpaceDN w:val="0"/>
        <w:adjustRightInd w:val="0"/>
        <w:spacing w:line="240" w:lineRule="auto"/>
        <w:rPr>
          <w:rFonts w:ascii="Arial" w:hAnsi="Arial" w:cs="Arial"/>
          <w:color w:val="000000"/>
          <w:sz w:val="24"/>
          <w:szCs w:val="24"/>
        </w:rPr>
      </w:pPr>
    </w:p>
    <w:p w:rsidR="00E152C6" w:rsidRDefault="00E152C6" w:rsidP="00240820">
      <w:pPr>
        <w:autoSpaceDE w:val="0"/>
        <w:autoSpaceDN w:val="0"/>
        <w:adjustRightInd w:val="0"/>
        <w:spacing w:line="240" w:lineRule="auto"/>
        <w:rPr>
          <w:rFonts w:ascii="Arial" w:hAnsi="Arial" w:cs="Arial"/>
          <w:color w:val="000000"/>
          <w:sz w:val="24"/>
          <w:szCs w:val="24"/>
        </w:rPr>
      </w:pPr>
    </w:p>
    <w:p w:rsidR="00E152C6" w:rsidRDefault="00E152C6" w:rsidP="00651020">
      <w:pPr>
        <w:autoSpaceDE w:val="0"/>
        <w:autoSpaceDN w:val="0"/>
        <w:adjustRightInd w:val="0"/>
        <w:spacing w:line="240" w:lineRule="auto"/>
        <w:jc w:val="center"/>
        <w:rPr>
          <w:rFonts w:ascii="Arial" w:hAnsi="Arial" w:cs="Arial"/>
          <w:color w:val="000000"/>
          <w:sz w:val="24"/>
          <w:szCs w:val="24"/>
        </w:rPr>
      </w:pPr>
      <w:r w:rsidRPr="00F92E18">
        <w:rPr>
          <w:rFonts w:ascii="Arial" w:hAnsi="Arial" w:cs="Arial"/>
          <w:noProof/>
          <w:color w:val="000000"/>
          <w:sz w:val="24"/>
          <w:szCs w:val="24"/>
        </w:rPr>
        <w:pict>
          <v:shape id="Object 2" o:spid="_x0000_i1029" type="#_x0000_t75" style="width:519pt;height:206.25pt;visibility:visible">
            <v:imagedata r:id="rId11" o:title="" croptop="-596f" cropbottom="-241f" cropleft="-412f" cropright="-119f"/>
            <o:lock v:ext="edit" aspectratio="f"/>
          </v:shape>
        </w:pict>
      </w:r>
    </w:p>
    <w:p w:rsidR="00E152C6" w:rsidRDefault="00E152C6" w:rsidP="00240820">
      <w:pPr>
        <w:autoSpaceDE w:val="0"/>
        <w:autoSpaceDN w:val="0"/>
        <w:adjustRightInd w:val="0"/>
        <w:spacing w:line="240" w:lineRule="auto"/>
        <w:rPr>
          <w:rFonts w:ascii="Arial" w:hAnsi="Arial" w:cs="Arial"/>
          <w:color w:val="000000"/>
          <w:sz w:val="24"/>
          <w:szCs w:val="24"/>
        </w:rPr>
      </w:pPr>
    </w:p>
    <w:p w:rsidR="00E152C6" w:rsidRPr="00F67BB0" w:rsidRDefault="00E152C6" w:rsidP="00545C37">
      <w:pPr>
        <w:pStyle w:val="Default"/>
        <w:jc w:val="both"/>
        <w:rPr>
          <w:rFonts w:ascii="Calibri" w:hAnsi="Calibri" w:cs="Calibri"/>
          <w:color w:val="auto"/>
        </w:rPr>
      </w:pPr>
      <w:r w:rsidRPr="00F67BB0">
        <w:rPr>
          <w:rFonts w:ascii="Calibri" w:hAnsi="Calibri" w:cs="Calibri"/>
          <w:color w:val="auto"/>
        </w:rPr>
        <w:t>PMRC will initially be a public-private institution. As a non-depository DFI, it will be regulated by the SBP. Additionally, SECP will oversee the PMRC’s capital market operations. PMRC will raise funds initially from equity contributions from its shareholders and potentially through a long-term loan from an International Financial Institution (IFI). As soon as possible it will start raising funds from the capital market by becoming a well rated and regular issuer of bonds, sukuks and MBS. PMRC will initially provide loans (refinance) to PMLs that are secured by the PMLs portfolio of conventional mortgage loans with overcollateralization and by the PMLs commitment/undertaking to replace/substitute any ineligible or delinquent loans i.e. with full recourse to the PML</w:t>
      </w:r>
      <w:r>
        <w:rPr>
          <w:rFonts w:ascii="Calibri" w:hAnsi="Calibri" w:cs="Calibri"/>
          <w:color w:val="auto"/>
        </w:rPr>
        <w:t>s</w:t>
      </w:r>
      <w:r w:rsidRPr="00F67BB0">
        <w:rPr>
          <w:rFonts w:ascii="Calibri" w:hAnsi="Calibri" w:cs="Calibri"/>
          <w:color w:val="auto"/>
        </w:rPr>
        <w:t xml:space="preserve">. It will initially also purchase Shariah compliant housing loan portfolios of Islamic banks, conventional banks with Islamic banking operations and HBFC, with recourse to these PMLs. To raise funding for these initial asset building operations, PMRC will issue corporate bonds or term finance certificates (TFC’s) as well sukuks (secured directly by the purchased Shariah compliant housing loan portfolios). Subsequently, PMRC will also be able to purchase portfolios without recourse to the PMLs. It will fund these subsequent operations through securitization either directly or through a separately capitalized subsidiary or a Special Purpose Vehicle (SPV). Securitization during the initial phase of PMRC’s inception is not </w:t>
      </w:r>
      <w:r>
        <w:rPr>
          <w:rFonts w:ascii="Calibri" w:hAnsi="Calibri" w:cs="Calibri"/>
          <w:color w:val="auto"/>
        </w:rPr>
        <w:t>being considered</w:t>
      </w:r>
      <w:r w:rsidRPr="00F67BB0">
        <w:rPr>
          <w:rFonts w:ascii="Calibri" w:hAnsi="Calibri" w:cs="Calibri"/>
          <w:color w:val="auto"/>
        </w:rPr>
        <w:t xml:space="preserve"> due to the lack of portfolio history, lender experience with credit risk management, the difficulties of monitoring originator and servicer behavior and the lack of demand of complex securities in the bond market. </w:t>
      </w:r>
    </w:p>
    <w:p w:rsidR="00E152C6" w:rsidRDefault="00E152C6" w:rsidP="00545C37">
      <w:pPr>
        <w:pStyle w:val="Default"/>
        <w:jc w:val="both"/>
        <w:rPr>
          <w:rFonts w:ascii="Calibri" w:hAnsi="Calibri" w:cs="Calibri"/>
          <w:color w:val="auto"/>
        </w:rPr>
      </w:pPr>
    </w:p>
    <w:p w:rsidR="00E152C6" w:rsidRDefault="00E152C6" w:rsidP="00545C37">
      <w:pPr>
        <w:pStyle w:val="Default"/>
        <w:jc w:val="both"/>
      </w:pPr>
      <w:r w:rsidRPr="00F67BB0">
        <w:rPr>
          <w:rFonts w:ascii="Calibri" w:hAnsi="Calibri" w:cs="Calibri"/>
          <w:color w:val="auto"/>
        </w:rPr>
        <w:t>Islamic banking is a rapidly growing and important sector in the country and although Shariah compliant housing finance portfolios have grown more rapidly in the recent year than conventional mortgage loan portfolios, they are still a small component of the total MDO in the country. Thus it is recommended that PMRC serve Islamic PMLs alongside conventional ones. Discussions with Shariah scholars and other stakeholders have established that equity participation in PMRC by Islamic banks, alongside that by conventional banks, is possible if revenue and expense streams are segregated from conventional mode of operations and some fine tuning of PMRC’s structure is conducted. Subsequently, depending upon the growth, appetite and potential of the conventional and Islamic banking sectors, specifically with regard to their respective housing finance portfolios, it may make sense to carve out segregated full-fledged liquidity facilities independent of each other</w:t>
      </w:r>
      <w:r>
        <w:t xml:space="preserve">. </w:t>
      </w:r>
    </w:p>
    <w:p w:rsidR="00E152C6" w:rsidRDefault="00E152C6" w:rsidP="00545C37">
      <w:pPr>
        <w:pStyle w:val="Default"/>
        <w:jc w:val="both"/>
      </w:pPr>
    </w:p>
    <w:p w:rsidR="00E152C6" w:rsidRDefault="00E152C6" w:rsidP="00255FB1">
      <w:pPr>
        <w:pStyle w:val="Default"/>
        <w:rPr>
          <w:rFonts w:ascii="Calibri" w:hAnsi="Calibri" w:cs="Calibri"/>
          <w:b/>
          <w:bCs/>
          <w:color w:val="auto"/>
          <w:sz w:val="28"/>
          <w:szCs w:val="28"/>
        </w:rPr>
      </w:pPr>
    </w:p>
    <w:p w:rsidR="00E152C6" w:rsidRDefault="00E152C6" w:rsidP="00255FB1">
      <w:pPr>
        <w:pStyle w:val="Default"/>
        <w:rPr>
          <w:rFonts w:ascii="Calibri" w:hAnsi="Calibri" w:cs="Calibri"/>
          <w:b/>
          <w:bCs/>
          <w:color w:val="auto"/>
          <w:sz w:val="28"/>
          <w:szCs w:val="28"/>
        </w:rPr>
      </w:pPr>
      <w:r w:rsidRPr="005E2ED8">
        <w:rPr>
          <w:rFonts w:ascii="Calibri" w:hAnsi="Calibri" w:cs="Calibri"/>
          <w:b/>
          <w:bCs/>
          <w:color w:val="auto"/>
          <w:sz w:val="28"/>
          <w:szCs w:val="28"/>
        </w:rPr>
        <w:t xml:space="preserve">The possible models for PMRC </w:t>
      </w:r>
    </w:p>
    <w:p w:rsidR="00E152C6" w:rsidRPr="005E2ED8" w:rsidRDefault="00E152C6" w:rsidP="00255FB1">
      <w:pPr>
        <w:pStyle w:val="Default"/>
        <w:rPr>
          <w:rFonts w:ascii="Calibri" w:hAnsi="Calibri" w:cs="Calibri"/>
          <w:b/>
          <w:bCs/>
          <w:color w:val="auto"/>
          <w:sz w:val="28"/>
          <w:szCs w:val="28"/>
        </w:rPr>
      </w:pPr>
    </w:p>
    <w:p w:rsidR="00E152C6" w:rsidRDefault="00E152C6" w:rsidP="00255FB1">
      <w:pPr>
        <w:jc w:val="both"/>
        <w:rPr>
          <w:b/>
          <w:bCs/>
        </w:rPr>
      </w:pPr>
      <w:r w:rsidRPr="00F92E18">
        <w:rPr>
          <w:b/>
          <w:bCs/>
          <w:noProof/>
        </w:rPr>
        <w:pict>
          <v:shape id="Picture 1" o:spid="_x0000_i1030" type="#_x0000_t75" style="width:536.25pt;height:372pt;visibility:visible">
            <v:imagedata r:id="rId12" o:title=""/>
          </v:shape>
        </w:pict>
      </w:r>
    </w:p>
    <w:p w:rsidR="00E152C6" w:rsidRDefault="00E152C6" w:rsidP="00255FB1">
      <w:pPr>
        <w:jc w:val="both"/>
        <w:rPr>
          <w:b/>
          <w:bCs/>
        </w:rPr>
      </w:pPr>
    </w:p>
    <w:p w:rsidR="00E152C6" w:rsidRDefault="00E152C6" w:rsidP="00255FB1">
      <w:pPr>
        <w:jc w:val="both"/>
        <w:rPr>
          <w:b/>
          <w:bCs/>
        </w:rPr>
      </w:pPr>
      <w:r>
        <w:rPr>
          <w:b/>
          <w:bCs/>
        </w:rPr>
        <w:br/>
      </w:r>
      <w:r w:rsidRPr="00F92E18">
        <w:rPr>
          <w:b/>
          <w:bCs/>
          <w:noProof/>
        </w:rPr>
        <w:pict>
          <v:shape id="_x0000_i1031" type="#_x0000_t75" style="width:533.25pt;height:645pt;visibility:visible">
            <v:imagedata r:id="rId13" o:title=""/>
          </v:shape>
        </w:pict>
      </w:r>
    </w:p>
    <w:p w:rsidR="00E152C6" w:rsidRDefault="00E152C6" w:rsidP="00255FB1">
      <w:pPr>
        <w:jc w:val="both"/>
        <w:rPr>
          <w:b/>
          <w:bCs/>
        </w:rPr>
      </w:pPr>
      <w:r w:rsidRPr="00F92E18">
        <w:rPr>
          <w:b/>
          <w:bCs/>
          <w:noProof/>
        </w:rPr>
        <w:pict>
          <v:shape id="_x0000_i1032" type="#_x0000_t75" style="width:537.75pt;height:664.5pt;visibility:visible">
            <v:imagedata r:id="rId14" o:title=""/>
          </v:shape>
        </w:pict>
      </w:r>
      <w:r w:rsidRPr="00F92E18">
        <w:rPr>
          <w:b/>
          <w:bCs/>
          <w:noProof/>
        </w:rPr>
        <w:pict>
          <v:shape id="Picture 4" o:spid="_x0000_i1033" type="#_x0000_t75" style="width:537.75pt;height:672.75pt;visibility:visible">
            <v:imagedata r:id="rId15" o:title=""/>
          </v:shape>
        </w:pict>
      </w:r>
    </w:p>
    <w:p w:rsidR="00E152C6" w:rsidRDefault="00E152C6" w:rsidP="00255FB1">
      <w:pPr>
        <w:jc w:val="both"/>
        <w:rPr>
          <w:b/>
          <w:bCs/>
        </w:rPr>
      </w:pPr>
    </w:p>
    <w:p w:rsidR="00E152C6" w:rsidRDefault="00E152C6" w:rsidP="00255FB1">
      <w:pPr>
        <w:jc w:val="both"/>
        <w:rPr>
          <w:b/>
          <w:bCs/>
        </w:rPr>
      </w:pPr>
    </w:p>
    <w:p w:rsidR="00E152C6" w:rsidRPr="001F36B2" w:rsidRDefault="00E152C6" w:rsidP="001F36B2">
      <w:pPr>
        <w:pStyle w:val="Default"/>
        <w:rPr>
          <w:rFonts w:ascii="Calibri" w:hAnsi="Calibri" w:cs="Calibri"/>
          <w:b/>
          <w:bCs/>
          <w:color w:val="auto"/>
          <w:sz w:val="28"/>
          <w:szCs w:val="28"/>
        </w:rPr>
      </w:pPr>
      <w:r w:rsidRPr="001F36B2">
        <w:rPr>
          <w:rFonts w:ascii="Calibri" w:hAnsi="Calibri" w:cs="Calibri"/>
          <w:b/>
          <w:bCs/>
          <w:color w:val="auto"/>
          <w:sz w:val="28"/>
          <w:szCs w:val="28"/>
        </w:rPr>
        <w:t>PMRC - Proposed Shareholding Structure</w:t>
      </w:r>
    </w:p>
    <w:p w:rsidR="00E152C6" w:rsidRDefault="00E152C6" w:rsidP="00255FB1">
      <w:pPr>
        <w:jc w:val="both"/>
        <w:rPr>
          <w:b/>
          <w:bCs/>
        </w:rPr>
      </w:pPr>
    </w:p>
    <w:p w:rsidR="00E152C6" w:rsidRDefault="00E152C6" w:rsidP="00255FB1">
      <w:pPr>
        <w:jc w:val="both"/>
        <w:rPr>
          <w:b/>
          <w:bCs/>
        </w:rPr>
      </w:pPr>
    </w:p>
    <w:p w:rsidR="00E152C6" w:rsidRPr="001F36B2" w:rsidRDefault="00E152C6" w:rsidP="00255FB1">
      <w:pPr>
        <w:jc w:val="both"/>
        <w:rPr>
          <w:sz w:val="24"/>
          <w:szCs w:val="24"/>
        </w:rPr>
      </w:pPr>
    </w:p>
    <w:tbl>
      <w:tblPr>
        <w:tblW w:w="0" w:type="auto"/>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A0"/>
      </w:tblPr>
      <w:tblGrid>
        <w:gridCol w:w="1063"/>
        <w:gridCol w:w="4883"/>
        <w:gridCol w:w="3025"/>
      </w:tblGrid>
      <w:tr w:rsidR="00E152C6" w:rsidRPr="00F92E18">
        <w:trPr>
          <w:jc w:val="center"/>
        </w:trPr>
        <w:tc>
          <w:tcPr>
            <w:tcW w:w="1023" w:type="dxa"/>
            <w:tcBorders>
              <w:bottom w:val="single" w:sz="18" w:space="0" w:color="C0504D"/>
            </w:tcBorders>
          </w:tcPr>
          <w:p w:rsidR="00E152C6" w:rsidRPr="00F92E18" w:rsidRDefault="00E152C6" w:rsidP="00F92E18">
            <w:pPr>
              <w:spacing w:line="240" w:lineRule="auto"/>
              <w:jc w:val="center"/>
              <w:rPr>
                <w:rFonts w:ascii="Cambria" w:hAnsi="Cambria" w:cs="Cambria"/>
                <w:b/>
                <w:bCs/>
                <w:color w:val="984806"/>
                <w:sz w:val="36"/>
                <w:szCs w:val="36"/>
              </w:rPr>
            </w:pPr>
            <w:r w:rsidRPr="00F92E18">
              <w:rPr>
                <w:rFonts w:ascii="Cambria" w:hAnsi="Cambria" w:cs="Cambria"/>
                <w:b/>
                <w:bCs/>
                <w:color w:val="984806"/>
                <w:sz w:val="36"/>
                <w:szCs w:val="36"/>
              </w:rPr>
              <w:t>S.NO.</w:t>
            </w:r>
          </w:p>
        </w:tc>
        <w:tc>
          <w:tcPr>
            <w:tcW w:w="4883" w:type="dxa"/>
            <w:tcBorders>
              <w:bottom w:val="single" w:sz="18" w:space="0" w:color="C0504D"/>
            </w:tcBorders>
          </w:tcPr>
          <w:p w:rsidR="00E152C6" w:rsidRPr="00F92E18" w:rsidRDefault="00E152C6" w:rsidP="00F92E18">
            <w:pPr>
              <w:spacing w:line="240" w:lineRule="auto"/>
              <w:jc w:val="center"/>
              <w:rPr>
                <w:rFonts w:ascii="Cambria" w:hAnsi="Cambria" w:cs="Cambria"/>
                <w:b/>
                <w:bCs/>
                <w:color w:val="984806"/>
                <w:sz w:val="36"/>
                <w:szCs w:val="36"/>
              </w:rPr>
            </w:pPr>
            <w:r w:rsidRPr="00F92E18">
              <w:rPr>
                <w:rFonts w:ascii="Cambria" w:hAnsi="Cambria" w:cs="Cambria"/>
                <w:b/>
                <w:bCs/>
                <w:color w:val="984806"/>
                <w:sz w:val="36"/>
                <w:szCs w:val="36"/>
              </w:rPr>
              <w:t>Stakeholders</w:t>
            </w:r>
          </w:p>
        </w:tc>
        <w:tc>
          <w:tcPr>
            <w:tcW w:w="3025" w:type="dxa"/>
            <w:tcBorders>
              <w:bottom w:val="single" w:sz="18" w:space="0" w:color="C0504D"/>
            </w:tcBorders>
          </w:tcPr>
          <w:p w:rsidR="00E152C6" w:rsidRPr="00F92E18" w:rsidRDefault="00E152C6" w:rsidP="00F92E18">
            <w:pPr>
              <w:spacing w:line="240" w:lineRule="auto"/>
              <w:jc w:val="center"/>
              <w:rPr>
                <w:rFonts w:ascii="Cambria" w:hAnsi="Cambria" w:cs="Cambria"/>
                <w:b/>
                <w:bCs/>
                <w:color w:val="984806"/>
                <w:sz w:val="36"/>
                <w:szCs w:val="36"/>
              </w:rPr>
            </w:pPr>
            <w:r w:rsidRPr="00F92E18">
              <w:rPr>
                <w:rFonts w:ascii="Cambria" w:hAnsi="Cambria" w:cs="Cambria"/>
                <w:b/>
                <w:bCs/>
                <w:color w:val="984806"/>
                <w:sz w:val="36"/>
                <w:szCs w:val="36"/>
              </w:rPr>
              <w:t>Proposed ownership rights (%)</w:t>
            </w:r>
          </w:p>
        </w:tc>
      </w:tr>
      <w:tr w:rsidR="00E152C6" w:rsidRPr="00F92E18">
        <w:trPr>
          <w:jc w:val="center"/>
        </w:trPr>
        <w:tc>
          <w:tcPr>
            <w:tcW w:w="1023" w:type="dxa"/>
            <w:shd w:val="clear" w:color="auto" w:fill="EFD3D2"/>
          </w:tcPr>
          <w:p w:rsidR="00E152C6" w:rsidRPr="00F92E18" w:rsidRDefault="00E152C6" w:rsidP="00F92E18">
            <w:pPr>
              <w:spacing w:line="480" w:lineRule="auto"/>
              <w:jc w:val="both"/>
              <w:rPr>
                <w:rFonts w:ascii="Cambria" w:hAnsi="Cambria" w:cs="Cambria"/>
                <w:b/>
                <w:bCs/>
                <w:sz w:val="36"/>
                <w:szCs w:val="36"/>
              </w:rPr>
            </w:pPr>
            <w:r w:rsidRPr="00F92E18">
              <w:rPr>
                <w:rFonts w:ascii="Cambria" w:hAnsi="Cambria" w:cs="Cambria"/>
                <w:sz w:val="36"/>
                <w:szCs w:val="36"/>
              </w:rPr>
              <w:t>1</w:t>
            </w:r>
          </w:p>
        </w:tc>
        <w:tc>
          <w:tcPr>
            <w:tcW w:w="4883" w:type="dxa"/>
            <w:shd w:val="clear" w:color="auto" w:fill="EFD3D2"/>
          </w:tcPr>
          <w:p w:rsidR="00E152C6" w:rsidRPr="00F92E18" w:rsidRDefault="00E152C6" w:rsidP="00F92E18">
            <w:pPr>
              <w:spacing w:line="480" w:lineRule="auto"/>
              <w:jc w:val="both"/>
              <w:rPr>
                <w:b/>
                <w:bCs/>
                <w:sz w:val="28"/>
                <w:szCs w:val="28"/>
              </w:rPr>
            </w:pPr>
            <w:r w:rsidRPr="00F92E18">
              <w:rPr>
                <w:b/>
                <w:bCs/>
                <w:sz w:val="28"/>
                <w:szCs w:val="28"/>
              </w:rPr>
              <w:t>Government of Pakistan and Government sponsored agencies e.g. SBP,SLIC,EOBI,NIC.</w:t>
            </w:r>
          </w:p>
        </w:tc>
        <w:tc>
          <w:tcPr>
            <w:tcW w:w="3025" w:type="dxa"/>
            <w:shd w:val="clear" w:color="auto" w:fill="EFD3D2"/>
          </w:tcPr>
          <w:p w:rsidR="00E152C6" w:rsidRPr="00F92E18" w:rsidRDefault="00E152C6" w:rsidP="00F92E18">
            <w:pPr>
              <w:spacing w:line="480" w:lineRule="auto"/>
              <w:jc w:val="center"/>
              <w:rPr>
                <w:b/>
                <w:bCs/>
                <w:sz w:val="28"/>
                <w:szCs w:val="28"/>
              </w:rPr>
            </w:pPr>
            <w:r w:rsidRPr="00F92E18">
              <w:rPr>
                <w:b/>
                <w:bCs/>
                <w:sz w:val="28"/>
                <w:szCs w:val="28"/>
              </w:rPr>
              <w:t>20</w:t>
            </w:r>
          </w:p>
        </w:tc>
      </w:tr>
      <w:tr w:rsidR="00E152C6" w:rsidRPr="00F92E18">
        <w:trPr>
          <w:jc w:val="center"/>
        </w:trPr>
        <w:tc>
          <w:tcPr>
            <w:tcW w:w="1023" w:type="dxa"/>
          </w:tcPr>
          <w:p w:rsidR="00E152C6" w:rsidRPr="00F92E18" w:rsidRDefault="00E152C6" w:rsidP="00F92E18">
            <w:pPr>
              <w:spacing w:line="480" w:lineRule="auto"/>
              <w:jc w:val="both"/>
              <w:rPr>
                <w:rFonts w:ascii="Cambria" w:hAnsi="Cambria" w:cs="Cambria"/>
                <w:b/>
                <w:bCs/>
                <w:sz w:val="36"/>
                <w:szCs w:val="36"/>
              </w:rPr>
            </w:pPr>
            <w:r w:rsidRPr="00F92E18">
              <w:rPr>
                <w:rFonts w:ascii="Cambria" w:hAnsi="Cambria" w:cs="Cambria"/>
                <w:sz w:val="36"/>
                <w:szCs w:val="36"/>
              </w:rPr>
              <w:t>2</w:t>
            </w:r>
          </w:p>
        </w:tc>
        <w:tc>
          <w:tcPr>
            <w:tcW w:w="4883" w:type="dxa"/>
          </w:tcPr>
          <w:p w:rsidR="00E152C6" w:rsidRPr="00F92E18" w:rsidRDefault="00E152C6" w:rsidP="00F92E18">
            <w:pPr>
              <w:spacing w:line="480" w:lineRule="auto"/>
              <w:jc w:val="both"/>
              <w:rPr>
                <w:b/>
                <w:bCs/>
                <w:sz w:val="28"/>
                <w:szCs w:val="28"/>
              </w:rPr>
            </w:pPr>
            <w:r w:rsidRPr="00F92E18">
              <w:rPr>
                <w:b/>
                <w:bCs/>
                <w:sz w:val="28"/>
                <w:szCs w:val="28"/>
              </w:rPr>
              <w:t>Primary Mortgage Lenders</w:t>
            </w:r>
          </w:p>
        </w:tc>
        <w:tc>
          <w:tcPr>
            <w:tcW w:w="3025" w:type="dxa"/>
          </w:tcPr>
          <w:p w:rsidR="00E152C6" w:rsidRPr="00F92E18" w:rsidRDefault="00E152C6" w:rsidP="00F92E18">
            <w:pPr>
              <w:spacing w:line="480" w:lineRule="auto"/>
              <w:jc w:val="center"/>
              <w:rPr>
                <w:b/>
                <w:bCs/>
                <w:sz w:val="28"/>
                <w:szCs w:val="28"/>
              </w:rPr>
            </w:pPr>
            <w:r w:rsidRPr="00F92E18">
              <w:rPr>
                <w:b/>
                <w:bCs/>
                <w:sz w:val="28"/>
                <w:szCs w:val="28"/>
              </w:rPr>
              <w:t>60</w:t>
            </w:r>
          </w:p>
        </w:tc>
      </w:tr>
      <w:tr w:rsidR="00E152C6" w:rsidRPr="00F92E18">
        <w:trPr>
          <w:jc w:val="center"/>
        </w:trPr>
        <w:tc>
          <w:tcPr>
            <w:tcW w:w="1023" w:type="dxa"/>
            <w:shd w:val="clear" w:color="auto" w:fill="EFD3D2"/>
          </w:tcPr>
          <w:p w:rsidR="00E152C6" w:rsidRPr="00F92E18" w:rsidRDefault="00E152C6" w:rsidP="00F92E18">
            <w:pPr>
              <w:spacing w:line="480" w:lineRule="auto"/>
              <w:jc w:val="both"/>
              <w:rPr>
                <w:rFonts w:ascii="Cambria" w:hAnsi="Cambria" w:cs="Cambria"/>
                <w:b/>
                <w:bCs/>
                <w:sz w:val="36"/>
                <w:szCs w:val="36"/>
              </w:rPr>
            </w:pPr>
            <w:r w:rsidRPr="00F92E18">
              <w:rPr>
                <w:rFonts w:ascii="Cambria" w:hAnsi="Cambria" w:cs="Cambria"/>
                <w:sz w:val="36"/>
                <w:szCs w:val="36"/>
              </w:rPr>
              <w:t>3</w:t>
            </w:r>
          </w:p>
        </w:tc>
        <w:tc>
          <w:tcPr>
            <w:tcW w:w="4883" w:type="dxa"/>
            <w:shd w:val="clear" w:color="auto" w:fill="EFD3D2"/>
          </w:tcPr>
          <w:p w:rsidR="00E152C6" w:rsidRPr="00F92E18" w:rsidRDefault="00E152C6" w:rsidP="00F92E18">
            <w:pPr>
              <w:spacing w:line="480" w:lineRule="auto"/>
              <w:jc w:val="both"/>
              <w:rPr>
                <w:b/>
                <w:bCs/>
                <w:sz w:val="28"/>
                <w:szCs w:val="28"/>
              </w:rPr>
            </w:pPr>
            <w:r w:rsidRPr="00F92E18">
              <w:rPr>
                <w:b/>
                <w:bCs/>
                <w:sz w:val="28"/>
                <w:szCs w:val="28"/>
              </w:rPr>
              <w:t>International Institutions e.g IFC,ADB</w:t>
            </w:r>
          </w:p>
        </w:tc>
        <w:tc>
          <w:tcPr>
            <w:tcW w:w="3025" w:type="dxa"/>
            <w:shd w:val="clear" w:color="auto" w:fill="EFD3D2"/>
          </w:tcPr>
          <w:p w:rsidR="00E152C6" w:rsidRPr="00F92E18" w:rsidRDefault="00E152C6" w:rsidP="00F92E18">
            <w:pPr>
              <w:spacing w:line="480" w:lineRule="auto"/>
              <w:jc w:val="center"/>
              <w:rPr>
                <w:b/>
                <w:bCs/>
                <w:sz w:val="28"/>
                <w:szCs w:val="28"/>
              </w:rPr>
            </w:pPr>
            <w:r w:rsidRPr="00F92E18">
              <w:rPr>
                <w:b/>
                <w:bCs/>
                <w:sz w:val="28"/>
                <w:szCs w:val="28"/>
              </w:rPr>
              <w:t>20</w:t>
            </w:r>
          </w:p>
        </w:tc>
      </w:tr>
    </w:tbl>
    <w:p w:rsidR="00E152C6" w:rsidRDefault="00E152C6" w:rsidP="007177CD">
      <w:pPr>
        <w:spacing w:line="480" w:lineRule="auto"/>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Default="00E152C6" w:rsidP="00255FB1">
      <w:pPr>
        <w:jc w:val="both"/>
        <w:rPr>
          <w:b/>
          <w:bCs/>
        </w:rPr>
      </w:pPr>
    </w:p>
    <w:p w:rsidR="00E152C6" w:rsidRPr="00866E14" w:rsidRDefault="00E152C6" w:rsidP="00866E14">
      <w:pPr>
        <w:pStyle w:val="Default"/>
        <w:rPr>
          <w:rFonts w:ascii="Calibri" w:hAnsi="Calibri" w:cs="Calibri"/>
          <w:b/>
          <w:bCs/>
          <w:color w:val="auto"/>
          <w:sz w:val="28"/>
          <w:szCs w:val="28"/>
        </w:rPr>
      </w:pPr>
      <w:r w:rsidRPr="00866E14">
        <w:rPr>
          <w:rFonts w:ascii="Calibri" w:hAnsi="Calibri" w:cs="Calibri"/>
          <w:b/>
          <w:bCs/>
          <w:color w:val="auto"/>
          <w:sz w:val="28"/>
          <w:szCs w:val="28"/>
        </w:rPr>
        <w:t xml:space="preserve">Successful international models </w:t>
      </w:r>
    </w:p>
    <w:p w:rsidR="00E152C6" w:rsidRDefault="00E152C6" w:rsidP="00866E14">
      <w:pPr>
        <w:pStyle w:val="Default"/>
        <w:rPr>
          <w:rFonts w:ascii="Calibri" w:hAnsi="Calibri" w:cs="Calibri"/>
          <w:b/>
          <w:bCs/>
          <w:color w:val="auto"/>
          <w:sz w:val="28"/>
          <w:szCs w:val="28"/>
        </w:rPr>
      </w:pPr>
    </w:p>
    <w:p w:rsidR="00E152C6" w:rsidRPr="00866E14" w:rsidRDefault="00E152C6" w:rsidP="00866E14">
      <w:pPr>
        <w:pStyle w:val="Default"/>
        <w:rPr>
          <w:rFonts w:ascii="Calibri" w:hAnsi="Calibri" w:cs="Calibri"/>
          <w:b/>
          <w:bCs/>
          <w:color w:val="auto"/>
          <w:sz w:val="28"/>
          <w:szCs w:val="28"/>
        </w:rPr>
      </w:pPr>
      <w:r>
        <w:rPr>
          <w:rFonts w:ascii="Calibri" w:hAnsi="Calibri" w:cs="Calibri"/>
          <w:b/>
          <w:bCs/>
          <w:color w:val="auto"/>
          <w:sz w:val="28"/>
          <w:szCs w:val="28"/>
        </w:rPr>
        <w:t>a)</w:t>
      </w:r>
      <w:r w:rsidRPr="00866E14">
        <w:rPr>
          <w:rFonts w:ascii="Calibri" w:hAnsi="Calibri" w:cs="Calibri"/>
          <w:b/>
          <w:bCs/>
          <w:color w:val="auto"/>
          <w:sz w:val="28"/>
          <w:szCs w:val="28"/>
        </w:rPr>
        <w:t>Egyptian Mortgage Refinance Company (EMRC)</w:t>
      </w:r>
    </w:p>
    <w:p w:rsidR="00E152C6" w:rsidRDefault="00E152C6" w:rsidP="00255FB1">
      <w:pPr>
        <w:jc w:val="both"/>
        <w:rPr>
          <w:b/>
          <w:bCs/>
        </w:rPr>
      </w:pPr>
    </w:p>
    <w:p w:rsidR="00E152C6" w:rsidRPr="004962D0" w:rsidRDefault="00E152C6" w:rsidP="00621B18">
      <w:pPr>
        <w:numPr>
          <w:ilvl w:val="0"/>
          <w:numId w:val="13"/>
        </w:numPr>
        <w:jc w:val="both"/>
        <w:rPr>
          <w:sz w:val="24"/>
          <w:szCs w:val="24"/>
        </w:rPr>
      </w:pPr>
      <w:r w:rsidRPr="004962D0">
        <w:rPr>
          <w:sz w:val="24"/>
          <w:szCs w:val="24"/>
        </w:rPr>
        <w:t xml:space="preserve">Incorporated in 2006 as a Joint stock company with a current paid-up capital of EP241 mn ($44 mn) and long term GoE/WB loan of EP214 mn </w:t>
      </w:r>
    </w:p>
    <w:p w:rsidR="00E152C6" w:rsidRPr="004962D0" w:rsidRDefault="00E152C6" w:rsidP="00621B18">
      <w:pPr>
        <w:numPr>
          <w:ilvl w:val="0"/>
          <w:numId w:val="13"/>
        </w:numPr>
        <w:jc w:val="both"/>
        <w:rPr>
          <w:sz w:val="24"/>
          <w:szCs w:val="24"/>
        </w:rPr>
      </w:pPr>
      <w:r w:rsidRPr="004962D0">
        <w:rPr>
          <w:sz w:val="24"/>
          <w:szCs w:val="24"/>
        </w:rPr>
        <w:t>27 Shareholders: 16.6% Central Bank, 14.1% other public institutions, 7.9% IFC and 61.4% private primary lenders</w:t>
      </w:r>
    </w:p>
    <w:p w:rsidR="00E152C6" w:rsidRPr="004962D0" w:rsidRDefault="00E152C6" w:rsidP="00621B18">
      <w:pPr>
        <w:numPr>
          <w:ilvl w:val="0"/>
          <w:numId w:val="13"/>
        </w:numPr>
        <w:jc w:val="both"/>
        <w:rPr>
          <w:sz w:val="24"/>
          <w:szCs w:val="24"/>
        </w:rPr>
      </w:pPr>
      <w:r w:rsidRPr="004962D0">
        <w:rPr>
          <w:sz w:val="24"/>
          <w:szCs w:val="24"/>
        </w:rPr>
        <w:t>Only shareholders can benefit from the refinancing facility</w:t>
      </w:r>
    </w:p>
    <w:p w:rsidR="00E152C6" w:rsidRPr="004962D0" w:rsidRDefault="00E152C6" w:rsidP="00621B18">
      <w:pPr>
        <w:numPr>
          <w:ilvl w:val="0"/>
          <w:numId w:val="13"/>
        </w:numPr>
        <w:jc w:val="both"/>
        <w:rPr>
          <w:sz w:val="24"/>
          <w:szCs w:val="24"/>
        </w:rPr>
      </w:pPr>
      <w:r w:rsidRPr="004962D0">
        <w:rPr>
          <w:sz w:val="24"/>
          <w:szCs w:val="24"/>
        </w:rPr>
        <w:t>Over collateralization of 20% based on full recourse to primary lender</w:t>
      </w:r>
    </w:p>
    <w:p w:rsidR="00E152C6" w:rsidRPr="004962D0" w:rsidRDefault="00E152C6" w:rsidP="00621B18">
      <w:pPr>
        <w:numPr>
          <w:ilvl w:val="0"/>
          <w:numId w:val="13"/>
        </w:numPr>
        <w:jc w:val="both"/>
        <w:rPr>
          <w:sz w:val="24"/>
          <w:szCs w:val="24"/>
        </w:rPr>
      </w:pPr>
      <w:r w:rsidRPr="004962D0">
        <w:rPr>
          <w:sz w:val="24"/>
          <w:szCs w:val="24"/>
        </w:rPr>
        <w:t xml:space="preserve">Primary mortgage shareholders to replace loans that are prepaid / redeemed or more than 3 months delinquent </w:t>
      </w:r>
    </w:p>
    <w:p w:rsidR="00E152C6" w:rsidRPr="004962D0" w:rsidRDefault="00E152C6" w:rsidP="00621B18">
      <w:pPr>
        <w:numPr>
          <w:ilvl w:val="0"/>
          <w:numId w:val="13"/>
        </w:numPr>
        <w:jc w:val="both"/>
        <w:rPr>
          <w:sz w:val="24"/>
          <w:szCs w:val="24"/>
        </w:rPr>
      </w:pPr>
      <w:r w:rsidRPr="004962D0">
        <w:rPr>
          <w:sz w:val="24"/>
          <w:szCs w:val="24"/>
        </w:rPr>
        <w:t>Exemptions / Waivers:</w:t>
      </w:r>
    </w:p>
    <w:p w:rsidR="00E152C6" w:rsidRPr="004962D0" w:rsidRDefault="00E152C6" w:rsidP="00621B18">
      <w:pPr>
        <w:numPr>
          <w:ilvl w:val="1"/>
          <w:numId w:val="13"/>
        </w:numPr>
        <w:jc w:val="both"/>
        <w:rPr>
          <w:sz w:val="24"/>
          <w:szCs w:val="24"/>
        </w:rPr>
      </w:pPr>
      <w:r w:rsidRPr="004962D0">
        <w:rPr>
          <w:sz w:val="24"/>
          <w:szCs w:val="24"/>
        </w:rPr>
        <w:t>Refinanced housing loans are subject to general loan loss provision of 1% against the banks’ general loan loss provision of 3%;</w:t>
      </w:r>
    </w:p>
    <w:p w:rsidR="00E152C6" w:rsidRPr="004962D0" w:rsidRDefault="00E152C6" w:rsidP="00621B18">
      <w:pPr>
        <w:numPr>
          <w:ilvl w:val="1"/>
          <w:numId w:val="13"/>
        </w:numPr>
        <w:jc w:val="both"/>
        <w:rPr>
          <w:sz w:val="24"/>
          <w:szCs w:val="24"/>
        </w:rPr>
      </w:pPr>
      <w:r w:rsidRPr="004962D0">
        <w:rPr>
          <w:sz w:val="24"/>
          <w:szCs w:val="24"/>
        </w:rPr>
        <w:t xml:space="preserve">Bonds are tax exempt from interest as well as capital gains; </w:t>
      </w:r>
    </w:p>
    <w:p w:rsidR="00E152C6" w:rsidRPr="004962D0" w:rsidRDefault="00E152C6" w:rsidP="00621B18">
      <w:pPr>
        <w:numPr>
          <w:ilvl w:val="1"/>
          <w:numId w:val="13"/>
        </w:numPr>
        <w:jc w:val="both"/>
        <w:rPr>
          <w:sz w:val="24"/>
          <w:szCs w:val="24"/>
        </w:rPr>
      </w:pPr>
      <w:r w:rsidRPr="004962D0">
        <w:rPr>
          <w:sz w:val="24"/>
          <w:szCs w:val="24"/>
        </w:rPr>
        <w:t>Bonds are eligible investments for banks and institutional investors; and</w:t>
      </w:r>
    </w:p>
    <w:p w:rsidR="00E152C6" w:rsidRPr="004962D0" w:rsidRDefault="00E152C6" w:rsidP="00621B18">
      <w:pPr>
        <w:numPr>
          <w:ilvl w:val="1"/>
          <w:numId w:val="13"/>
        </w:numPr>
        <w:jc w:val="both"/>
        <w:rPr>
          <w:sz w:val="24"/>
          <w:szCs w:val="24"/>
        </w:rPr>
      </w:pPr>
      <w:r w:rsidRPr="004962D0">
        <w:rPr>
          <w:sz w:val="24"/>
          <w:szCs w:val="24"/>
        </w:rPr>
        <w:t>Bonds are eligible for liquidity requirements.</w:t>
      </w:r>
    </w:p>
    <w:p w:rsidR="00E152C6" w:rsidRDefault="00E152C6" w:rsidP="00621B18">
      <w:pPr>
        <w:jc w:val="both"/>
        <w:rPr>
          <w:b/>
          <w:bCs/>
        </w:rPr>
      </w:pPr>
      <w:r w:rsidRPr="00902B59">
        <w:rPr>
          <w:b/>
          <w:bCs/>
          <w:sz w:val="24"/>
          <w:szCs w:val="24"/>
        </w:rPr>
        <w:t>Refinanced 3 loans totaling $21.6 mn with 3 PML’s since operations began in July 2008 (3 months); Large pipeline for next 6 months</w:t>
      </w:r>
      <w:r>
        <w:rPr>
          <w:b/>
          <w:bCs/>
        </w:rPr>
        <w:t>.</w:t>
      </w:r>
    </w:p>
    <w:p w:rsidR="00E152C6" w:rsidRDefault="00E152C6" w:rsidP="00621B18">
      <w:pPr>
        <w:jc w:val="both"/>
        <w:rPr>
          <w:b/>
          <w:bCs/>
        </w:rPr>
      </w:pPr>
    </w:p>
    <w:p w:rsidR="00E152C6" w:rsidRPr="00D14479" w:rsidRDefault="00E152C6" w:rsidP="00D14479">
      <w:pPr>
        <w:pStyle w:val="Default"/>
        <w:rPr>
          <w:rFonts w:ascii="Calibri" w:hAnsi="Calibri" w:cs="Calibri"/>
          <w:b/>
          <w:bCs/>
          <w:color w:val="auto"/>
          <w:sz w:val="28"/>
          <w:szCs w:val="28"/>
        </w:rPr>
      </w:pPr>
      <w:r>
        <w:rPr>
          <w:rFonts w:ascii="Calibri" w:hAnsi="Calibri" w:cs="Calibri"/>
          <w:b/>
          <w:bCs/>
          <w:color w:val="auto"/>
          <w:sz w:val="28"/>
          <w:szCs w:val="28"/>
        </w:rPr>
        <w:t>b)</w:t>
      </w:r>
      <w:r w:rsidRPr="00D14479">
        <w:rPr>
          <w:rFonts w:ascii="Calibri" w:hAnsi="Calibri" w:cs="Calibri"/>
          <w:b/>
          <w:bCs/>
          <w:color w:val="auto"/>
          <w:sz w:val="28"/>
          <w:szCs w:val="28"/>
        </w:rPr>
        <w:t>Caisse de Refinancement de l’ habitat (CRH - France)</w:t>
      </w:r>
    </w:p>
    <w:p w:rsidR="00E152C6" w:rsidRPr="00902B59" w:rsidRDefault="00E152C6" w:rsidP="00902B59">
      <w:pPr>
        <w:numPr>
          <w:ilvl w:val="0"/>
          <w:numId w:val="13"/>
        </w:numPr>
        <w:jc w:val="both"/>
        <w:rPr>
          <w:sz w:val="24"/>
          <w:szCs w:val="24"/>
        </w:rPr>
      </w:pPr>
      <w:r w:rsidRPr="00902B59">
        <w:rPr>
          <w:sz w:val="24"/>
          <w:szCs w:val="24"/>
        </w:rPr>
        <w:t>Created in 1985, as Public Ltd Company with current Capital of €200 m contributed by F.I.s in proportion to their outstanding borrowings. 90% of shareholding held by 5 financial houses.</w:t>
      </w:r>
    </w:p>
    <w:p w:rsidR="00E152C6" w:rsidRPr="00902B59" w:rsidRDefault="00E152C6" w:rsidP="00902B59">
      <w:pPr>
        <w:numPr>
          <w:ilvl w:val="0"/>
          <w:numId w:val="13"/>
        </w:numPr>
        <w:jc w:val="both"/>
        <w:rPr>
          <w:sz w:val="24"/>
          <w:szCs w:val="24"/>
        </w:rPr>
      </w:pPr>
      <w:r w:rsidRPr="00902B59">
        <w:rPr>
          <w:sz w:val="24"/>
          <w:szCs w:val="24"/>
        </w:rPr>
        <w:t>Only the shareholders can borrow</w:t>
      </w:r>
    </w:p>
    <w:p w:rsidR="00E152C6" w:rsidRPr="00902B59" w:rsidRDefault="00E152C6" w:rsidP="00902B59">
      <w:pPr>
        <w:numPr>
          <w:ilvl w:val="0"/>
          <w:numId w:val="13"/>
        </w:numPr>
        <w:jc w:val="both"/>
        <w:rPr>
          <w:sz w:val="24"/>
          <w:szCs w:val="24"/>
        </w:rPr>
      </w:pPr>
      <w:r w:rsidRPr="00902B59">
        <w:rPr>
          <w:sz w:val="24"/>
          <w:szCs w:val="24"/>
        </w:rPr>
        <w:t>Is subject to Banking laws particularly with regards to CAR.</w:t>
      </w:r>
    </w:p>
    <w:p w:rsidR="00E152C6" w:rsidRPr="00902B59" w:rsidRDefault="00E152C6" w:rsidP="00902B59">
      <w:pPr>
        <w:numPr>
          <w:ilvl w:val="0"/>
          <w:numId w:val="13"/>
        </w:numPr>
        <w:jc w:val="both"/>
        <w:rPr>
          <w:sz w:val="24"/>
          <w:szCs w:val="24"/>
        </w:rPr>
      </w:pPr>
      <w:r w:rsidRPr="00902B59">
        <w:rPr>
          <w:sz w:val="24"/>
          <w:szCs w:val="24"/>
        </w:rPr>
        <w:t>CRH can ask for replacement of invalid loans from the originating banks. If the bank cannot replace then it has to buy an equivalent amount of bonds to compensate</w:t>
      </w:r>
    </w:p>
    <w:p w:rsidR="00E152C6" w:rsidRPr="00902B59" w:rsidRDefault="00E152C6" w:rsidP="00902B59">
      <w:pPr>
        <w:numPr>
          <w:ilvl w:val="0"/>
          <w:numId w:val="13"/>
        </w:numPr>
        <w:jc w:val="both"/>
        <w:rPr>
          <w:sz w:val="24"/>
          <w:szCs w:val="24"/>
        </w:rPr>
      </w:pPr>
      <w:r w:rsidRPr="00902B59">
        <w:rPr>
          <w:sz w:val="24"/>
          <w:szCs w:val="24"/>
        </w:rPr>
        <w:t>Over collateralization of 25% required</w:t>
      </w:r>
    </w:p>
    <w:p w:rsidR="00E152C6" w:rsidRPr="00902B59" w:rsidRDefault="00E152C6" w:rsidP="00902B59">
      <w:pPr>
        <w:numPr>
          <w:ilvl w:val="0"/>
          <w:numId w:val="13"/>
        </w:numPr>
        <w:jc w:val="both"/>
        <w:rPr>
          <w:sz w:val="24"/>
          <w:szCs w:val="24"/>
        </w:rPr>
      </w:pPr>
      <w:r w:rsidRPr="00902B59">
        <w:rPr>
          <w:sz w:val="24"/>
          <w:szCs w:val="24"/>
        </w:rPr>
        <w:t>Shareholders to commit to provide liquidity support if needed</w:t>
      </w:r>
    </w:p>
    <w:p w:rsidR="00E152C6" w:rsidRPr="00902B59" w:rsidRDefault="00E152C6" w:rsidP="00902B59">
      <w:pPr>
        <w:numPr>
          <w:ilvl w:val="0"/>
          <w:numId w:val="13"/>
        </w:numPr>
        <w:jc w:val="both"/>
        <w:rPr>
          <w:sz w:val="24"/>
          <w:szCs w:val="24"/>
        </w:rPr>
      </w:pPr>
      <w:r w:rsidRPr="00902B59">
        <w:rPr>
          <w:sz w:val="24"/>
          <w:szCs w:val="24"/>
        </w:rPr>
        <w:t xml:space="preserve">Small organization (9 staff), low risk profile - does not charge a margin to its borrowers. Earns profits from investing its capital base </w:t>
      </w:r>
    </w:p>
    <w:p w:rsidR="00E152C6" w:rsidRPr="00902B59" w:rsidRDefault="00E152C6" w:rsidP="00902B59">
      <w:pPr>
        <w:numPr>
          <w:ilvl w:val="0"/>
          <w:numId w:val="13"/>
        </w:numPr>
        <w:jc w:val="both"/>
        <w:rPr>
          <w:sz w:val="24"/>
          <w:szCs w:val="24"/>
        </w:rPr>
      </w:pPr>
      <w:r w:rsidRPr="00902B59">
        <w:rPr>
          <w:sz w:val="24"/>
          <w:szCs w:val="24"/>
        </w:rPr>
        <w:t>CRH Bonds:</w:t>
      </w:r>
    </w:p>
    <w:p w:rsidR="00E152C6" w:rsidRPr="00902B59" w:rsidRDefault="00E152C6" w:rsidP="00902B59">
      <w:pPr>
        <w:numPr>
          <w:ilvl w:val="0"/>
          <w:numId w:val="13"/>
        </w:numPr>
        <w:tabs>
          <w:tab w:val="num" w:pos="1440"/>
        </w:tabs>
        <w:jc w:val="both"/>
        <w:rPr>
          <w:sz w:val="24"/>
          <w:szCs w:val="24"/>
        </w:rPr>
      </w:pPr>
      <w:r w:rsidRPr="00902B59">
        <w:rPr>
          <w:sz w:val="24"/>
          <w:szCs w:val="24"/>
        </w:rPr>
        <w:t xml:space="preserve">CRH ratings : AAA by Fitch </w:t>
      </w:r>
    </w:p>
    <w:p w:rsidR="00E152C6" w:rsidRPr="00902B59" w:rsidRDefault="00E152C6" w:rsidP="00902B59">
      <w:pPr>
        <w:numPr>
          <w:ilvl w:val="0"/>
          <w:numId w:val="13"/>
        </w:numPr>
        <w:tabs>
          <w:tab w:val="num" w:pos="1440"/>
        </w:tabs>
        <w:jc w:val="both"/>
        <w:rPr>
          <w:sz w:val="24"/>
          <w:szCs w:val="24"/>
        </w:rPr>
      </w:pPr>
      <w:r w:rsidRPr="00902B59">
        <w:rPr>
          <w:sz w:val="24"/>
          <w:szCs w:val="24"/>
        </w:rPr>
        <w:t>Are accepted as collateral for advances from Bank of France</w:t>
      </w:r>
    </w:p>
    <w:p w:rsidR="00E152C6" w:rsidRPr="001B4319" w:rsidRDefault="00E152C6" w:rsidP="00902B59">
      <w:pPr>
        <w:numPr>
          <w:ilvl w:val="0"/>
          <w:numId w:val="13"/>
        </w:numPr>
        <w:tabs>
          <w:tab w:val="num" w:pos="1440"/>
        </w:tabs>
        <w:jc w:val="both"/>
        <w:rPr>
          <w:b/>
          <w:bCs/>
          <w:sz w:val="24"/>
          <w:szCs w:val="24"/>
        </w:rPr>
      </w:pPr>
      <w:r w:rsidRPr="001B4319">
        <w:rPr>
          <w:sz w:val="24"/>
          <w:szCs w:val="24"/>
        </w:rPr>
        <w:t>Accepted as TIER 1 collateral for the European Central Bank’s open market operations</w:t>
      </w:r>
    </w:p>
    <w:p w:rsidR="00E152C6" w:rsidRPr="001B4319" w:rsidRDefault="00E152C6" w:rsidP="00902B59">
      <w:pPr>
        <w:numPr>
          <w:ilvl w:val="0"/>
          <w:numId w:val="13"/>
        </w:numPr>
        <w:tabs>
          <w:tab w:val="num" w:pos="1440"/>
        </w:tabs>
        <w:jc w:val="both"/>
        <w:rPr>
          <w:sz w:val="24"/>
          <w:szCs w:val="24"/>
        </w:rPr>
      </w:pPr>
      <w:r w:rsidRPr="001B4319">
        <w:rPr>
          <w:sz w:val="24"/>
          <w:szCs w:val="24"/>
        </w:rPr>
        <w:t>Assigned 10% weightage in calculation of capital adequacy ratio of FIs holding them</w:t>
      </w:r>
    </w:p>
    <w:p w:rsidR="00E152C6" w:rsidRPr="00730C05" w:rsidRDefault="00E152C6" w:rsidP="00730C05">
      <w:pPr>
        <w:jc w:val="both"/>
        <w:rPr>
          <w:b/>
          <w:bCs/>
          <w:sz w:val="24"/>
          <w:szCs w:val="24"/>
        </w:rPr>
      </w:pPr>
      <w:r w:rsidRPr="00730C05">
        <w:rPr>
          <w:b/>
          <w:bCs/>
          <w:sz w:val="24"/>
          <w:szCs w:val="24"/>
        </w:rPr>
        <w:t>€40 B loans granted since inception. Refinances approx 4% of the mortgage loans in France</w:t>
      </w:r>
    </w:p>
    <w:p w:rsidR="00E152C6" w:rsidRDefault="00E152C6" w:rsidP="00F33BA6">
      <w:pPr>
        <w:jc w:val="both"/>
        <w:rPr>
          <w:b/>
          <w:bCs/>
        </w:rPr>
      </w:pPr>
    </w:p>
    <w:p w:rsidR="00E152C6" w:rsidRPr="00266020" w:rsidRDefault="00E152C6" w:rsidP="00266020">
      <w:pPr>
        <w:pStyle w:val="Default"/>
        <w:rPr>
          <w:rFonts w:ascii="Calibri" w:hAnsi="Calibri" w:cs="Calibri"/>
          <w:b/>
          <w:bCs/>
          <w:color w:val="auto"/>
          <w:sz w:val="28"/>
          <w:szCs w:val="28"/>
        </w:rPr>
      </w:pPr>
      <w:r>
        <w:rPr>
          <w:rFonts w:ascii="Calibri" w:hAnsi="Calibri" w:cs="Calibri"/>
          <w:b/>
          <w:bCs/>
          <w:color w:val="auto"/>
          <w:sz w:val="28"/>
          <w:szCs w:val="28"/>
        </w:rPr>
        <w:t>c)</w:t>
      </w:r>
      <w:r w:rsidRPr="00266020">
        <w:rPr>
          <w:rFonts w:ascii="Calibri" w:hAnsi="Calibri" w:cs="Calibri"/>
          <w:b/>
          <w:bCs/>
          <w:color w:val="auto"/>
          <w:sz w:val="28"/>
          <w:szCs w:val="28"/>
        </w:rPr>
        <w:t>Palestine Mortgage &amp; Housing Corporation (PMHC)</w:t>
      </w:r>
    </w:p>
    <w:p w:rsidR="00E152C6" w:rsidRPr="00A3657D" w:rsidRDefault="00E152C6" w:rsidP="00A3657D">
      <w:pPr>
        <w:numPr>
          <w:ilvl w:val="0"/>
          <w:numId w:val="13"/>
        </w:numPr>
        <w:jc w:val="both"/>
        <w:rPr>
          <w:sz w:val="24"/>
          <w:szCs w:val="24"/>
        </w:rPr>
      </w:pPr>
      <w:r w:rsidRPr="00A3657D">
        <w:rPr>
          <w:sz w:val="24"/>
          <w:szCs w:val="24"/>
        </w:rPr>
        <w:t xml:space="preserve">Started operations in 2000 as closed public shareholding company with paid up capital of USD 14.9mn </w:t>
      </w:r>
    </w:p>
    <w:p w:rsidR="00E152C6" w:rsidRPr="00A3657D" w:rsidRDefault="00E152C6" w:rsidP="00A3657D">
      <w:pPr>
        <w:numPr>
          <w:ilvl w:val="0"/>
          <w:numId w:val="13"/>
        </w:numPr>
        <w:jc w:val="both"/>
        <w:rPr>
          <w:sz w:val="24"/>
          <w:szCs w:val="24"/>
        </w:rPr>
      </w:pPr>
      <w:r w:rsidRPr="00A3657D">
        <w:rPr>
          <w:sz w:val="24"/>
          <w:szCs w:val="24"/>
        </w:rPr>
        <w:t>Structured as two separate holding companies i.e. PHFC for providing long term loans to F.I.s and PMIF for providing mortgage loan insurance</w:t>
      </w:r>
    </w:p>
    <w:p w:rsidR="00E152C6" w:rsidRPr="00A3657D" w:rsidRDefault="00E152C6" w:rsidP="00A3657D">
      <w:pPr>
        <w:numPr>
          <w:ilvl w:val="0"/>
          <w:numId w:val="13"/>
        </w:numPr>
        <w:tabs>
          <w:tab w:val="num" w:pos="1440"/>
        </w:tabs>
        <w:jc w:val="both"/>
        <w:rPr>
          <w:sz w:val="24"/>
          <w:szCs w:val="24"/>
        </w:rPr>
      </w:pPr>
      <w:r w:rsidRPr="00A3657D">
        <w:rPr>
          <w:sz w:val="24"/>
          <w:szCs w:val="24"/>
        </w:rPr>
        <w:t>14 shareholders including PIF 15%, PDIC 30%, IFC 15%, Consolidated Construction Co 15%, Arab Bank 10%, DEG 10%</w:t>
      </w:r>
    </w:p>
    <w:p w:rsidR="00E152C6" w:rsidRPr="00A3657D" w:rsidRDefault="00E152C6" w:rsidP="00A3657D">
      <w:pPr>
        <w:numPr>
          <w:ilvl w:val="0"/>
          <w:numId w:val="13"/>
        </w:numPr>
        <w:tabs>
          <w:tab w:val="num" w:pos="1440"/>
        </w:tabs>
        <w:jc w:val="both"/>
        <w:rPr>
          <w:sz w:val="24"/>
          <w:szCs w:val="24"/>
        </w:rPr>
      </w:pPr>
      <w:r w:rsidRPr="00A3657D">
        <w:rPr>
          <w:sz w:val="24"/>
          <w:szCs w:val="24"/>
        </w:rPr>
        <w:t>Less than 10% shareholding from prospective beneficiary local financial institutions</w:t>
      </w:r>
    </w:p>
    <w:p w:rsidR="00E152C6" w:rsidRPr="00A3657D" w:rsidRDefault="00E152C6" w:rsidP="00A3657D">
      <w:pPr>
        <w:numPr>
          <w:ilvl w:val="0"/>
          <w:numId w:val="13"/>
        </w:numPr>
        <w:tabs>
          <w:tab w:val="num" w:pos="1440"/>
        </w:tabs>
        <w:jc w:val="both"/>
        <w:rPr>
          <w:sz w:val="24"/>
          <w:szCs w:val="24"/>
        </w:rPr>
      </w:pPr>
      <w:r w:rsidRPr="00A3657D">
        <w:rPr>
          <w:sz w:val="24"/>
          <w:szCs w:val="24"/>
        </w:rPr>
        <w:t xml:space="preserve">20 year IDA loan of USD 17 mn </w:t>
      </w:r>
    </w:p>
    <w:p w:rsidR="00E152C6" w:rsidRPr="00A3657D" w:rsidRDefault="00E152C6" w:rsidP="00A3657D">
      <w:pPr>
        <w:numPr>
          <w:ilvl w:val="0"/>
          <w:numId w:val="13"/>
        </w:numPr>
        <w:jc w:val="both"/>
        <w:rPr>
          <w:sz w:val="24"/>
          <w:szCs w:val="24"/>
        </w:rPr>
      </w:pPr>
      <w:r w:rsidRPr="00A3657D">
        <w:rPr>
          <w:sz w:val="24"/>
          <w:szCs w:val="24"/>
        </w:rPr>
        <w:t>PHFC offers a maximum of 80% refinancing of appraised property value and PMIF can insure up to 70% of the loan</w:t>
      </w:r>
    </w:p>
    <w:p w:rsidR="00E152C6" w:rsidRPr="00A3657D" w:rsidRDefault="00E152C6" w:rsidP="00A3657D">
      <w:pPr>
        <w:numPr>
          <w:ilvl w:val="0"/>
          <w:numId w:val="13"/>
        </w:numPr>
        <w:jc w:val="both"/>
        <w:rPr>
          <w:sz w:val="24"/>
          <w:szCs w:val="24"/>
        </w:rPr>
      </w:pPr>
      <w:r w:rsidRPr="00A3657D">
        <w:rPr>
          <w:sz w:val="24"/>
          <w:szCs w:val="24"/>
        </w:rPr>
        <w:t>Declining volumes because:</w:t>
      </w:r>
    </w:p>
    <w:p w:rsidR="00E152C6" w:rsidRPr="00A3657D" w:rsidRDefault="00E152C6" w:rsidP="00A3657D">
      <w:pPr>
        <w:numPr>
          <w:ilvl w:val="0"/>
          <w:numId w:val="13"/>
        </w:numPr>
        <w:tabs>
          <w:tab w:val="num" w:pos="1440"/>
        </w:tabs>
        <w:jc w:val="both"/>
        <w:rPr>
          <w:sz w:val="24"/>
          <w:szCs w:val="24"/>
        </w:rPr>
      </w:pPr>
      <w:r w:rsidRPr="00A3657D">
        <w:rPr>
          <w:sz w:val="24"/>
          <w:szCs w:val="24"/>
        </w:rPr>
        <w:t>Banks have introduced their own products which are comparable or better</w:t>
      </w:r>
    </w:p>
    <w:p w:rsidR="00E152C6" w:rsidRPr="00A3657D" w:rsidRDefault="00E152C6" w:rsidP="00A3657D">
      <w:pPr>
        <w:numPr>
          <w:ilvl w:val="0"/>
          <w:numId w:val="13"/>
        </w:numPr>
        <w:tabs>
          <w:tab w:val="num" w:pos="1440"/>
        </w:tabs>
        <w:jc w:val="both"/>
        <w:rPr>
          <w:sz w:val="24"/>
          <w:szCs w:val="24"/>
        </w:rPr>
      </w:pPr>
      <w:r w:rsidRPr="00A3657D">
        <w:rPr>
          <w:sz w:val="24"/>
          <w:szCs w:val="24"/>
        </w:rPr>
        <w:t xml:space="preserve">Lenders are using their own liquidity </w:t>
      </w:r>
    </w:p>
    <w:p w:rsidR="00E152C6" w:rsidRPr="00A3657D" w:rsidRDefault="00E152C6" w:rsidP="00A3657D">
      <w:pPr>
        <w:numPr>
          <w:ilvl w:val="0"/>
          <w:numId w:val="13"/>
        </w:numPr>
        <w:tabs>
          <w:tab w:val="num" w:pos="1440"/>
        </w:tabs>
        <w:jc w:val="both"/>
        <w:rPr>
          <w:sz w:val="24"/>
          <w:szCs w:val="24"/>
        </w:rPr>
      </w:pPr>
      <w:r w:rsidRPr="00A3657D">
        <w:rPr>
          <w:sz w:val="24"/>
          <w:szCs w:val="24"/>
        </w:rPr>
        <w:t xml:space="preserve">PMHC ties its mortgage insurance product to refinance </w:t>
      </w:r>
    </w:p>
    <w:p w:rsidR="00E152C6" w:rsidRPr="00A3657D" w:rsidRDefault="00E152C6" w:rsidP="00A3657D">
      <w:pPr>
        <w:numPr>
          <w:ilvl w:val="0"/>
          <w:numId w:val="13"/>
        </w:numPr>
        <w:tabs>
          <w:tab w:val="num" w:pos="1440"/>
        </w:tabs>
        <w:jc w:val="both"/>
        <w:rPr>
          <w:sz w:val="24"/>
          <w:szCs w:val="24"/>
        </w:rPr>
      </w:pPr>
      <w:r w:rsidRPr="00A3657D">
        <w:rPr>
          <w:sz w:val="24"/>
          <w:szCs w:val="24"/>
        </w:rPr>
        <w:t xml:space="preserve">PMHC’s practice of seeking business directly leads to an unclear role in the market </w:t>
      </w:r>
    </w:p>
    <w:p w:rsidR="00E152C6" w:rsidRDefault="00E152C6" w:rsidP="00F34D28">
      <w:pPr>
        <w:jc w:val="both"/>
        <w:rPr>
          <w:b/>
          <w:bCs/>
        </w:rPr>
      </w:pPr>
    </w:p>
    <w:p w:rsidR="00E152C6" w:rsidRPr="0009670F" w:rsidRDefault="00E152C6" w:rsidP="00F34D28">
      <w:pPr>
        <w:jc w:val="both"/>
        <w:rPr>
          <w:b/>
          <w:bCs/>
          <w:sz w:val="24"/>
          <w:szCs w:val="24"/>
        </w:rPr>
      </w:pPr>
      <w:r w:rsidRPr="0009670F">
        <w:rPr>
          <w:b/>
          <w:bCs/>
          <w:sz w:val="24"/>
          <w:szCs w:val="24"/>
        </w:rPr>
        <w:t xml:space="preserve">USD 19 mn loans refinanced by PHFC during 2000-2006. USD 21 mn loans insured by PMIF during 2000-2006 </w:t>
      </w:r>
    </w:p>
    <w:p w:rsidR="00E152C6" w:rsidRDefault="00E152C6" w:rsidP="00D84F73">
      <w:pPr>
        <w:pStyle w:val="Default"/>
        <w:rPr>
          <w:rFonts w:ascii="Calibri" w:hAnsi="Calibri" w:cs="Calibri"/>
          <w:b/>
          <w:bCs/>
          <w:color w:val="auto"/>
          <w:sz w:val="22"/>
          <w:szCs w:val="22"/>
        </w:rPr>
      </w:pPr>
    </w:p>
    <w:p w:rsidR="00E152C6" w:rsidRPr="00266020" w:rsidRDefault="00E152C6" w:rsidP="00D84F73">
      <w:pPr>
        <w:pStyle w:val="Default"/>
        <w:rPr>
          <w:rFonts w:ascii="Calibri" w:hAnsi="Calibri" w:cs="Calibri"/>
          <w:b/>
          <w:bCs/>
          <w:color w:val="auto"/>
          <w:sz w:val="28"/>
          <w:szCs w:val="28"/>
        </w:rPr>
      </w:pPr>
      <w:r>
        <w:rPr>
          <w:rFonts w:ascii="Calibri" w:hAnsi="Calibri" w:cs="Calibri"/>
          <w:b/>
          <w:bCs/>
          <w:color w:val="auto"/>
          <w:sz w:val="22"/>
          <w:szCs w:val="22"/>
        </w:rPr>
        <w:t>d)</w:t>
      </w:r>
      <w:r w:rsidRPr="00266020">
        <w:rPr>
          <w:rFonts w:ascii="Calibri" w:hAnsi="Calibri" w:cs="Calibri"/>
          <w:b/>
          <w:bCs/>
          <w:color w:val="auto"/>
          <w:sz w:val="28"/>
          <w:szCs w:val="28"/>
        </w:rPr>
        <w:t>Federal Home Loan Banks (FHLBs-USA)</w:t>
      </w:r>
    </w:p>
    <w:p w:rsidR="00E152C6" w:rsidRPr="00AB332D" w:rsidRDefault="00E152C6" w:rsidP="00AB332D">
      <w:pPr>
        <w:numPr>
          <w:ilvl w:val="0"/>
          <w:numId w:val="13"/>
        </w:numPr>
        <w:jc w:val="both"/>
        <w:rPr>
          <w:sz w:val="24"/>
          <w:szCs w:val="24"/>
        </w:rPr>
      </w:pPr>
      <w:r w:rsidRPr="00AB332D">
        <w:rPr>
          <w:sz w:val="24"/>
          <w:szCs w:val="24"/>
        </w:rPr>
        <w:t>Privately owned, cooperative structure, without publicly traded stock</w:t>
      </w:r>
    </w:p>
    <w:p w:rsidR="00E152C6" w:rsidRPr="00AB332D" w:rsidRDefault="00E152C6" w:rsidP="00AB332D">
      <w:pPr>
        <w:numPr>
          <w:ilvl w:val="0"/>
          <w:numId w:val="13"/>
        </w:numPr>
        <w:jc w:val="both"/>
        <w:rPr>
          <w:sz w:val="24"/>
          <w:szCs w:val="24"/>
        </w:rPr>
      </w:pPr>
      <w:r w:rsidRPr="00AB332D">
        <w:rPr>
          <w:sz w:val="24"/>
          <w:szCs w:val="24"/>
        </w:rPr>
        <w:t>12 regional banks make advances to 8,125 member institutions</w:t>
      </w:r>
    </w:p>
    <w:p w:rsidR="00E152C6" w:rsidRPr="00AB332D" w:rsidRDefault="00E152C6" w:rsidP="00AB332D">
      <w:pPr>
        <w:numPr>
          <w:ilvl w:val="0"/>
          <w:numId w:val="13"/>
        </w:numPr>
        <w:jc w:val="both"/>
        <w:rPr>
          <w:sz w:val="24"/>
          <w:szCs w:val="24"/>
        </w:rPr>
      </w:pPr>
      <w:r w:rsidRPr="00AB332D">
        <w:rPr>
          <w:sz w:val="24"/>
          <w:szCs w:val="24"/>
        </w:rPr>
        <w:t>Mortgage banks are not eligible to become members</w:t>
      </w:r>
    </w:p>
    <w:p w:rsidR="00E152C6" w:rsidRPr="00AB332D" w:rsidRDefault="00E152C6" w:rsidP="00AB332D">
      <w:pPr>
        <w:numPr>
          <w:ilvl w:val="0"/>
          <w:numId w:val="13"/>
        </w:numPr>
        <w:jc w:val="both"/>
        <w:rPr>
          <w:sz w:val="24"/>
          <w:szCs w:val="24"/>
        </w:rPr>
      </w:pPr>
      <w:r w:rsidRPr="00AB332D">
        <w:rPr>
          <w:sz w:val="24"/>
          <w:szCs w:val="24"/>
        </w:rPr>
        <w:t>A member must contribute capital and is then entitled to borrow on a secured basis, at generally attractive rates</w:t>
      </w:r>
    </w:p>
    <w:p w:rsidR="00E152C6" w:rsidRPr="00AB332D" w:rsidRDefault="00E152C6" w:rsidP="00AB332D">
      <w:pPr>
        <w:numPr>
          <w:ilvl w:val="0"/>
          <w:numId w:val="13"/>
        </w:numPr>
        <w:jc w:val="both"/>
        <w:rPr>
          <w:sz w:val="24"/>
          <w:szCs w:val="24"/>
        </w:rPr>
      </w:pPr>
      <w:r w:rsidRPr="00AB332D">
        <w:rPr>
          <w:sz w:val="24"/>
          <w:szCs w:val="24"/>
        </w:rPr>
        <w:t>Can also takes deposits from members</w:t>
      </w:r>
    </w:p>
    <w:p w:rsidR="00E152C6" w:rsidRPr="00AB332D" w:rsidRDefault="00E152C6" w:rsidP="00AB332D">
      <w:pPr>
        <w:numPr>
          <w:ilvl w:val="0"/>
          <w:numId w:val="13"/>
        </w:numPr>
        <w:jc w:val="both"/>
        <w:rPr>
          <w:sz w:val="24"/>
          <w:szCs w:val="24"/>
        </w:rPr>
      </w:pPr>
      <w:r w:rsidRPr="00AB332D">
        <w:rPr>
          <w:sz w:val="24"/>
          <w:szCs w:val="24"/>
        </w:rPr>
        <w:t>Have specific programs that help low-income housing (AHP- $2.9 bn in grants) and community development (CIP - $47 bn in loans)</w:t>
      </w:r>
    </w:p>
    <w:p w:rsidR="00E152C6" w:rsidRPr="00AB332D" w:rsidRDefault="00E152C6" w:rsidP="00AB332D">
      <w:pPr>
        <w:numPr>
          <w:ilvl w:val="0"/>
          <w:numId w:val="13"/>
        </w:numPr>
        <w:jc w:val="both"/>
        <w:rPr>
          <w:sz w:val="24"/>
          <w:szCs w:val="24"/>
        </w:rPr>
      </w:pPr>
      <w:r w:rsidRPr="00AB332D">
        <w:rPr>
          <w:sz w:val="24"/>
          <w:szCs w:val="24"/>
        </w:rPr>
        <w:t>Regulated by the Federal Housing Finance Board</w:t>
      </w:r>
    </w:p>
    <w:p w:rsidR="00E152C6" w:rsidRPr="00AB332D" w:rsidRDefault="00E152C6" w:rsidP="00AB332D">
      <w:pPr>
        <w:numPr>
          <w:ilvl w:val="0"/>
          <w:numId w:val="13"/>
        </w:numPr>
        <w:jc w:val="both"/>
        <w:rPr>
          <w:sz w:val="24"/>
          <w:szCs w:val="24"/>
        </w:rPr>
      </w:pPr>
      <w:r w:rsidRPr="00AB332D">
        <w:rPr>
          <w:sz w:val="24"/>
          <w:szCs w:val="24"/>
        </w:rPr>
        <w:t xml:space="preserve">As of Sep 30, 2008 the system had outstanding refinance of  $1 tn, obligations of $1.3 tn, capital of $57 bn and Net Income of $1.9 bn </w:t>
      </w:r>
    </w:p>
    <w:p w:rsidR="00E152C6" w:rsidRPr="00AB332D" w:rsidRDefault="00E152C6" w:rsidP="00AB332D">
      <w:pPr>
        <w:numPr>
          <w:ilvl w:val="0"/>
          <w:numId w:val="13"/>
        </w:numPr>
        <w:jc w:val="both"/>
        <w:rPr>
          <w:sz w:val="24"/>
          <w:szCs w:val="24"/>
        </w:rPr>
      </w:pPr>
      <w:r w:rsidRPr="00AB332D">
        <w:rPr>
          <w:sz w:val="24"/>
          <w:szCs w:val="24"/>
        </w:rPr>
        <w:t xml:space="preserve">Regression analysis shows a significant relationship between FHLB advances and housing-related loans for banks: For a 1 percent increase in the ratio of advances to assets, the share of assets invested in housing loans increases 0.74 percent. </w:t>
      </w:r>
    </w:p>
    <w:p w:rsidR="00E152C6" w:rsidRDefault="00E152C6" w:rsidP="00F33BA6">
      <w:pPr>
        <w:jc w:val="both"/>
        <w:rPr>
          <w:b/>
          <w:bCs/>
        </w:rPr>
      </w:pPr>
    </w:p>
    <w:p w:rsidR="00E152C6" w:rsidRDefault="00E152C6" w:rsidP="00F33BA6">
      <w:pPr>
        <w:jc w:val="both"/>
        <w:rPr>
          <w:b/>
          <w:bCs/>
        </w:rPr>
      </w:pPr>
    </w:p>
    <w:p w:rsidR="00E152C6" w:rsidRDefault="00E152C6" w:rsidP="00F33BA6">
      <w:pPr>
        <w:jc w:val="both"/>
        <w:rPr>
          <w:b/>
          <w:bCs/>
        </w:rPr>
      </w:pPr>
    </w:p>
    <w:p w:rsidR="00E152C6" w:rsidRDefault="00E152C6" w:rsidP="00F33BA6">
      <w:pPr>
        <w:jc w:val="both"/>
        <w:rPr>
          <w:b/>
          <w:bCs/>
        </w:rPr>
      </w:pPr>
    </w:p>
    <w:p w:rsidR="00E152C6" w:rsidRDefault="00E152C6" w:rsidP="00F33BA6">
      <w:pPr>
        <w:jc w:val="both"/>
        <w:rPr>
          <w:b/>
          <w:bCs/>
        </w:rPr>
      </w:pPr>
    </w:p>
    <w:p w:rsidR="00E152C6" w:rsidRDefault="00E152C6" w:rsidP="00F33BA6">
      <w:pPr>
        <w:jc w:val="both"/>
        <w:rPr>
          <w:b/>
          <w:bCs/>
        </w:rPr>
      </w:pPr>
    </w:p>
    <w:p w:rsidR="00E152C6" w:rsidRDefault="00E152C6" w:rsidP="00F33BA6">
      <w:pPr>
        <w:jc w:val="both"/>
        <w:rPr>
          <w:b/>
          <w:bCs/>
        </w:rPr>
      </w:pPr>
    </w:p>
    <w:p w:rsidR="00E152C6" w:rsidRDefault="00E152C6" w:rsidP="00F33BA6">
      <w:pPr>
        <w:jc w:val="both"/>
        <w:rPr>
          <w:b/>
          <w:bCs/>
        </w:rPr>
      </w:pPr>
    </w:p>
    <w:p w:rsidR="00E152C6" w:rsidRDefault="00E152C6" w:rsidP="00622E67">
      <w:pPr>
        <w:jc w:val="center"/>
        <w:rPr>
          <w:b/>
          <w:bCs/>
        </w:rPr>
      </w:pPr>
      <w:r w:rsidRPr="00F92E18">
        <w:rPr>
          <w:b/>
          <w:bCs/>
          <w:noProof/>
        </w:rPr>
        <w:pict>
          <v:shape id="_x0000_i1034" type="#_x0000_t75" style="width:465.75pt;height:186.75pt;visibility:visible">
            <v:imagedata r:id="rId16" o:title=""/>
          </v:shape>
        </w:pict>
      </w:r>
    </w:p>
    <w:p w:rsidR="00E152C6" w:rsidRDefault="00E152C6" w:rsidP="00F33BA6">
      <w:pPr>
        <w:jc w:val="both"/>
        <w:rPr>
          <w:b/>
          <w:bCs/>
        </w:rPr>
      </w:pPr>
    </w:p>
    <w:p w:rsidR="00E152C6" w:rsidRPr="00A41E1B" w:rsidRDefault="00E152C6" w:rsidP="00A41E1B">
      <w:pPr>
        <w:pStyle w:val="Default"/>
        <w:rPr>
          <w:rFonts w:ascii="Calibri" w:hAnsi="Calibri" w:cs="Calibri"/>
          <w:b/>
          <w:bCs/>
          <w:color w:val="auto"/>
          <w:sz w:val="28"/>
          <w:szCs w:val="28"/>
        </w:rPr>
      </w:pPr>
      <w:r>
        <w:rPr>
          <w:rFonts w:ascii="Calibri" w:hAnsi="Calibri" w:cs="Calibri"/>
          <w:b/>
          <w:bCs/>
          <w:color w:val="auto"/>
          <w:sz w:val="28"/>
          <w:szCs w:val="28"/>
        </w:rPr>
        <w:t>e)</w:t>
      </w:r>
      <w:r w:rsidRPr="00A41E1B">
        <w:rPr>
          <w:rFonts w:ascii="Calibri" w:hAnsi="Calibri" w:cs="Calibri"/>
          <w:b/>
          <w:bCs/>
          <w:color w:val="auto"/>
          <w:sz w:val="28"/>
          <w:szCs w:val="28"/>
        </w:rPr>
        <w:t>Fannie Mae (FNM) - USA</w:t>
      </w:r>
    </w:p>
    <w:p w:rsidR="00E152C6" w:rsidRPr="001B0E45" w:rsidRDefault="00E152C6" w:rsidP="00681842">
      <w:pPr>
        <w:numPr>
          <w:ilvl w:val="0"/>
          <w:numId w:val="17"/>
        </w:numPr>
        <w:jc w:val="both"/>
        <w:rPr>
          <w:sz w:val="24"/>
          <w:szCs w:val="24"/>
        </w:rPr>
      </w:pPr>
      <w:r w:rsidRPr="001B0E45">
        <w:rPr>
          <w:sz w:val="24"/>
          <w:szCs w:val="24"/>
        </w:rPr>
        <w:t>Created in 1938 as a government agency. Re-Chartered in 1968 to become a self sustaining privately owned company, funded solely with private capital</w:t>
      </w:r>
    </w:p>
    <w:p w:rsidR="00E152C6" w:rsidRPr="001B0E45" w:rsidRDefault="00E152C6" w:rsidP="00681842">
      <w:pPr>
        <w:numPr>
          <w:ilvl w:val="0"/>
          <w:numId w:val="17"/>
        </w:numPr>
        <w:jc w:val="both"/>
        <w:rPr>
          <w:sz w:val="24"/>
          <w:szCs w:val="24"/>
        </w:rPr>
      </w:pPr>
      <w:r w:rsidRPr="001B0E45">
        <w:rPr>
          <w:sz w:val="24"/>
          <w:szCs w:val="24"/>
        </w:rPr>
        <w:t>In 1992, the regulatory framework applicable to the corporation was modernized to include new capital standards and new affordable housing goals</w:t>
      </w:r>
    </w:p>
    <w:p w:rsidR="00E152C6" w:rsidRPr="001B0E45" w:rsidRDefault="00E152C6" w:rsidP="00681842">
      <w:pPr>
        <w:numPr>
          <w:ilvl w:val="0"/>
          <w:numId w:val="17"/>
        </w:numPr>
        <w:jc w:val="both"/>
        <w:rPr>
          <w:sz w:val="24"/>
          <w:szCs w:val="24"/>
        </w:rPr>
      </w:pPr>
      <w:r w:rsidRPr="001B0E45">
        <w:rPr>
          <w:sz w:val="24"/>
          <w:szCs w:val="24"/>
        </w:rPr>
        <w:t>Operational Model:</w:t>
      </w:r>
    </w:p>
    <w:p w:rsidR="00E152C6" w:rsidRPr="001B0E45" w:rsidRDefault="00E152C6" w:rsidP="00681842">
      <w:pPr>
        <w:numPr>
          <w:ilvl w:val="1"/>
          <w:numId w:val="17"/>
        </w:numPr>
        <w:jc w:val="both"/>
        <w:rPr>
          <w:sz w:val="24"/>
          <w:szCs w:val="24"/>
        </w:rPr>
      </w:pPr>
      <w:r w:rsidRPr="001B0E45">
        <w:rPr>
          <w:sz w:val="24"/>
          <w:szCs w:val="24"/>
        </w:rPr>
        <w:t>Purchases mortgage loans from lenders for cash and holds mortgages in its portfolio</w:t>
      </w:r>
    </w:p>
    <w:p w:rsidR="00E152C6" w:rsidRPr="001B0E45" w:rsidRDefault="00E152C6" w:rsidP="00681842">
      <w:pPr>
        <w:numPr>
          <w:ilvl w:val="1"/>
          <w:numId w:val="17"/>
        </w:numPr>
        <w:jc w:val="both"/>
        <w:rPr>
          <w:sz w:val="24"/>
          <w:szCs w:val="24"/>
        </w:rPr>
      </w:pPr>
      <w:r w:rsidRPr="001B0E45">
        <w:rPr>
          <w:sz w:val="24"/>
          <w:szCs w:val="24"/>
        </w:rPr>
        <w:t>Loans purchased have to meet high credit standards</w:t>
      </w:r>
    </w:p>
    <w:p w:rsidR="00E152C6" w:rsidRPr="001B0E45" w:rsidRDefault="00E152C6" w:rsidP="00681842">
      <w:pPr>
        <w:numPr>
          <w:ilvl w:val="1"/>
          <w:numId w:val="17"/>
        </w:numPr>
        <w:jc w:val="both"/>
        <w:rPr>
          <w:sz w:val="24"/>
          <w:szCs w:val="24"/>
        </w:rPr>
      </w:pPr>
      <w:r w:rsidRPr="001B0E45">
        <w:rPr>
          <w:sz w:val="24"/>
          <w:szCs w:val="24"/>
        </w:rPr>
        <w:t>Each mortgage exceeding 80% LTV ratio has to be insured</w:t>
      </w:r>
    </w:p>
    <w:p w:rsidR="00E152C6" w:rsidRPr="001B0E45" w:rsidRDefault="00E152C6" w:rsidP="00681842">
      <w:pPr>
        <w:numPr>
          <w:ilvl w:val="1"/>
          <w:numId w:val="17"/>
        </w:numPr>
        <w:jc w:val="both"/>
        <w:rPr>
          <w:sz w:val="24"/>
          <w:szCs w:val="24"/>
        </w:rPr>
      </w:pPr>
      <w:r w:rsidRPr="001B0E45">
        <w:rPr>
          <w:sz w:val="24"/>
          <w:szCs w:val="24"/>
        </w:rPr>
        <w:t>FNM debt securities are unsecured obligations of the corporation and are not guaranteed by the US government</w:t>
      </w:r>
    </w:p>
    <w:p w:rsidR="00E152C6" w:rsidRPr="001B0E45" w:rsidRDefault="00E152C6" w:rsidP="00681842">
      <w:pPr>
        <w:numPr>
          <w:ilvl w:val="1"/>
          <w:numId w:val="17"/>
        </w:numPr>
        <w:jc w:val="both"/>
        <w:rPr>
          <w:sz w:val="24"/>
          <w:szCs w:val="24"/>
        </w:rPr>
      </w:pPr>
      <w:r w:rsidRPr="001B0E45">
        <w:rPr>
          <w:sz w:val="24"/>
          <w:szCs w:val="24"/>
        </w:rPr>
        <w:t xml:space="preserve">FNM guarantees to each MBS Trust to supplement mortgage collections to make timely payments on the MBS </w:t>
      </w:r>
    </w:p>
    <w:p w:rsidR="00E152C6" w:rsidRPr="001B0E45" w:rsidRDefault="00E152C6" w:rsidP="00681842">
      <w:pPr>
        <w:numPr>
          <w:ilvl w:val="0"/>
          <w:numId w:val="17"/>
        </w:numPr>
        <w:jc w:val="both"/>
        <w:rPr>
          <w:sz w:val="24"/>
          <w:szCs w:val="24"/>
        </w:rPr>
      </w:pPr>
      <w:r w:rsidRPr="001B0E45">
        <w:rPr>
          <w:sz w:val="24"/>
          <w:szCs w:val="24"/>
        </w:rPr>
        <w:t>Fannie Mae was created and exists pursuant to a Federal Law, the Charter, which gives it some significant statutory provisions:</w:t>
      </w:r>
    </w:p>
    <w:p w:rsidR="00E152C6" w:rsidRPr="001B0E45" w:rsidRDefault="00E152C6" w:rsidP="00681842">
      <w:pPr>
        <w:numPr>
          <w:ilvl w:val="1"/>
          <w:numId w:val="17"/>
        </w:numPr>
        <w:jc w:val="both"/>
        <w:rPr>
          <w:sz w:val="24"/>
          <w:szCs w:val="24"/>
        </w:rPr>
      </w:pPr>
      <w:r w:rsidRPr="001B0E45">
        <w:rPr>
          <w:sz w:val="24"/>
          <w:szCs w:val="24"/>
        </w:rPr>
        <w:t>The Treasury has discretion to purchase up to USD2.2 bn of the Corporation’s obligations</w:t>
      </w:r>
    </w:p>
    <w:p w:rsidR="00E152C6" w:rsidRPr="001B0E45" w:rsidRDefault="00E152C6" w:rsidP="00681842">
      <w:pPr>
        <w:numPr>
          <w:ilvl w:val="1"/>
          <w:numId w:val="17"/>
        </w:numPr>
        <w:jc w:val="both"/>
        <w:rPr>
          <w:sz w:val="24"/>
          <w:szCs w:val="24"/>
        </w:rPr>
      </w:pPr>
      <w:r w:rsidRPr="001B0E45">
        <w:rPr>
          <w:sz w:val="24"/>
          <w:szCs w:val="24"/>
        </w:rPr>
        <w:t>FNM securities are acceptable as security for deposit of public monies</w:t>
      </w:r>
    </w:p>
    <w:p w:rsidR="00E152C6" w:rsidRPr="001B0E45" w:rsidRDefault="00E152C6" w:rsidP="00681842">
      <w:pPr>
        <w:numPr>
          <w:ilvl w:val="1"/>
          <w:numId w:val="17"/>
        </w:numPr>
        <w:jc w:val="both"/>
        <w:rPr>
          <w:sz w:val="24"/>
          <w:szCs w:val="24"/>
        </w:rPr>
      </w:pPr>
      <w:r w:rsidRPr="001B0E45">
        <w:rPr>
          <w:sz w:val="24"/>
          <w:szCs w:val="24"/>
        </w:rPr>
        <w:t>FNM securities are eligible as security for advances to depository institutions</w:t>
      </w:r>
    </w:p>
    <w:p w:rsidR="00E152C6" w:rsidRPr="00890ED5" w:rsidRDefault="00E152C6" w:rsidP="00681842">
      <w:pPr>
        <w:numPr>
          <w:ilvl w:val="1"/>
          <w:numId w:val="17"/>
        </w:numPr>
        <w:jc w:val="both"/>
        <w:rPr>
          <w:sz w:val="24"/>
          <w:szCs w:val="24"/>
        </w:rPr>
      </w:pPr>
      <w:r w:rsidRPr="00890ED5">
        <w:rPr>
          <w:sz w:val="24"/>
          <w:szCs w:val="24"/>
        </w:rPr>
        <w:t>FNM debt and MBS generally are classified as US Agency securities under US risk based capital regulatory guidelines</w:t>
      </w:r>
    </w:p>
    <w:p w:rsidR="00E152C6" w:rsidRPr="00897703" w:rsidRDefault="00E152C6" w:rsidP="00681842">
      <w:pPr>
        <w:numPr>
          <w:ilvl w:val="0"/>
          <w:numId w:val="17"/>
        </w:numPr>
        <w:jc w:val="both"/>
        <w:rPr>
          <w:sz w:val="24"/>
          <w:szCs w:val="24"/>
        </w:rPr>
      </w:pPr>
      <w:r w:rsidRPr="00897703">
        <w:rPr>
          <w:sz w:val="24"/>
          <w:szCs w:val="24"/>
        </w:rPr>
        <w:t xml:space="preserve">FNM senior unsecured debt is currently rated AAA, Aaa and AAA respectively by Fitch, Moodys and Standard and Poor’s </w:t>
      </w:r>
    </w:p>
    <w:p w:rsidR="00E152C6" w:rsidRPr="00897703" w:rsidRDefault="00E152C6" w:rsidP="00681842">
      <w:pPr>
        <w:jc w:val="both"/>
        <w:rPr>
          <w:sz w:val="24"/>
          <w:szCs w:val="24"/>
        </w:rPr>
      </w:pPr>
      <w:r w:rsidRPr="00897703">
        <w:rPr>
          <w:sz w:val="24"/>
          <w:szCs w:val="24"/>
        </w:rPr>
        <w:t>In 2007 Shareholder’s Equity of $44 bn ($9.3 bn as of Sep ’08), Mortgage portfolio USD 404 bn, Net Loss of $ 2 bn ($33.5 bn in 9mths of 2008</w:t>
      </w:r>
    </w:p>
    <w:p w:rsidR="00E152C6" w:rsidRPr="00897703" w:rsidRDefault="00E152C6" w:rsidP="00F33BA6">
      <w:pPr>
        <w:jc w:val="both"/>
        <w:rPr>
          <w:sz w:val="24"/>
          <w:szCs w:val="24"/>
        </w:rPr>
      </w:pPr>
    </w:p>
    <w:p w:rsidR="00E152C6" w:rsidRDefault="00E152C6" w:rsidP="00A41E1B">
      <w:pPr>
        <w:pStyle w:val="Default"/>
        <w:rPr>
          <w:rFonts w:ascii="Calibri" w:hAnsi="Calibri" w:cs="Calibri"/>
          <w:b/>
          <w:bCs/>
          <w:color w:val="auto"/>
          <w:sz w:val="28"/>
          <w:szCs w:val="28"/>
        </w:rPr>
      </w:pPr>
    </w:p>
    <w:p w:rsidR="00E152C6" w:rsidRPr="00A41E1B" w:rsidRDefault="00E152C6" w:rsidP="00A41E1B">
      <w:pPr>
        <w:pStyle w:val="Default"/>
        <w:rPr>
          <w:rFonts w:ascii="Calibri" w:hAnsi="Calibri" w:cs="Calibri"/>
          <w:b/>
          <w:bCs/>
          <w:color w:val="auto"/>
          <w:sz w:val="28"/>
          <w:szCs w:val="28"/>
        </w:rPr>
      </w:pPr>
      <w:r>
        <w:rPr>
          <w:rFonts w:ascii="Calibri" w:hAnsi="Calibri" w:cs="Calibri"/>
          <w:b/>
          <w:bCs/>
          <w:color w:val="auto"/>
          <w:sz w:val="28"/>
          <w:szCs w:val="28"/>
        </w:rPr>
        <w:t>f)</w:t>
      </w:r>
      <w:r w:rsidRPr="00A41E1B">
        <w:rPr>
          <w:rFonts w:ascii="Calibri" w:hAnsi="Calibri" w:cs="Calibri"/>
          <w:b/>
          <w:bCs/>
          <w:color w:val="auto"/>
          <w:sz w:val="28"/>
          <w:szCs w:val="28"/>
        </w:rPr>
        <w:t>Cagamas Berhad (Malaysia)</w:t>
      </w:r>
    </w:p>
    <w:p w:rsidR="00E152C6" w:rsidRPr="00897703" w:rsidRDefault="00E152C6" w:rsidP="00F72BA8">
      <w:pPr>
        <w:numPr>
          <w:ilvl w:val="0"/>
          <w:numId w:val="18"/>
        </w:numPr>
        <w:jc w:val="both"/>
        <w:rPr>
          <w:sz w:val="24"/>
          <w:szCs w:val="24"/>
        </w:rPr>
      </w:pPr>
      <w:r w:rsidRPr="00897703">
        <w:rPr>
          <w:sz w:val="24"/>
          <w:szCs w:val="24"/>
        </w:rPr>
        <w:t>Incorporated in December 1986 as a public-private partnership company with an initial paid up capital of $14 mn. Owned 20% by Central Bank of Malaysia and 80% by 24 other financial institutions</w:t>
      </w:r>
    </w:p>
    <w:p w:rsidR="00E152C6" w:rsidRPr="00897703" w:rsidRDefault="00E152C6" w:rsidP="00F72BA8">
      <w:pPr>
        <w:numPr>
          <w:ilvl w:val="0"/>
          <w:numId w:val="18"/>
        </w:numPr>
        <w:jc w:val="both"/>
        <w:rPr>
          <w:sz w:val="24"/>
          <w:szCs w:val="24"/>
        </w:rPr>
      </w:pPr>
      <w:r w:rsidRPr="00897703">
        <w:rPr>
          <w:sz w:val="24"/>
          <w:szCs w:val="24"/>
        </w:rPr>
        <w:t>Operational Model:</w:t>
      </w:r>
    </w:p>
    <w:p w:rsidR="00E152C6" w:rsidRPr="00897703" w:rsidRDefault="00E152C6" w:rsidP="00F72BA8">
      <w:pPr>
        <w:numPr>
          <w:ilvl w:val="1"/>
          <w:numId w:val="18"/>
        </w:numPr>
        <w:jc w:val="both"/>
        <w:rPr>
          <w:sz w:val="24"/>
          <w:szCs w:val="24"/>
        </w:rPr>
      </w:pPr>
      <w:r w:rsidRPr="00897703">
        <w:rPr>
          <w:sz w:val="24"/>
          <w:szCs w:val="24"/>
        </w:rPr>
        <w:t>Purchase with recourse</w:t>
      </w:r>
    </w:p>
    <w:p w:rsidR="00E152C6" w:rsidRPr="00897703" w:rsidRDefault="00E152C6" w:rsidP="00F72BA8">
      <w:pPr>
        <w:numPr>
          <w:ilvl w:val="1"/>
          <w:numId w:val="18"/>
        </w:numPr>
        <w:jc w:val="both"/>
        <w:rPr>
          <w:sz w:val="24"/>
          <w:szCs w:val="24"/>
        </w:rPr>
      </w:pPr>
      <w:r w:rsidRPr="00897703">
        <w:rPr>
          <w:sz w:val="24"/>
          <w:szCs w:val="24"/>
        </w:rPr>
        <w:t>Purchase based on risk review periods agreed with banks</w:t>
      </w:r>
    </w:p>
    <w:p w:rsidR="00E152C6" w:rsidRPr="00897703" w:rsidRDefault="00E152C6" w:rsidP="00F72BA8">
      <w:pPr>
        <w:numPr>
          <w:ilvl w:val="1"/>
          <w:numId w:val="18"/>
        </w:numPr>
        <w:jc w:val="both"/>
        <w:rPr>
          <w:sz w:val="24"/>
          <w:szCs w:val="24"/>
        </w:rPr>
      </w:pPr>
      <w:r w:rsidRPr="00897703">
        <w:rPr>
          <w:sz w:val="24"/>
          <w:szCs w:val="24"/>
        </w:rPr>
        <w:t>Liquid asset status for Cagamas Papers</w:t>
      </w:r>
    </w:p>
    <w:p w:rsidR="00E152C6" w:rsidRPr="00897703" w:rsidRDefault="00E152C6" w:rsidP="00F72BA8">
      <w:pPr>
        <w:numPr>
          <w:ilvl w:val="1"/>
          <w:numId w:val="18"/>
        </w:numPr>
        <w:jc w:val="both"/>
        <w:rPr>
          <w:sz w:val="24"/>
          <w:szCs w:val="24"/>
        </w:rPr>
      </w:pPr>
      <w:r w:rsidRPr="00897703">
        <w:rPr>
          <w:sz w:val="24"/>
          <w:szCs w:val="24"/>
        </w:rPr>
        <w:t>Funds obtained from Cagamas exempted from Statutory Reserve and Liquidity requirements</w:t>
      </w:r>
    </w:p>
    <w:p w:rsidR="00E152C6" w:rsidRPr="00897703" w:rsidRDefault="00E152C6" w:rsidP="00F72BA8">
      <w:pPr>
        <w:numPr>
          <w:ilvl w:val="0"/>
          <w:numId w:val="18"/>
        </w:numPr>
        <w:jc w:val="both"/>
        <w:rPr>
          <w:sz w:val="24"/>
          <w:szCs w:val="24"/>
        </w:rPr>
      </w:pPr>
      <w:r w:rsidRPr="00897703">
        <w:rPr>
          <w:sz w:val="24"/>
          <w:szCs w:val="24"/>
        </w:rPr>
        <w:t>The Cagamas Bonds were granted special privileges till 2004:</w:t>
      </w:r>
    </w:p>
    <w:p w:rsidR="00E152C6" w:rsidRPr="00897703" w:rsidRDefault="00E152C6" w:rsidP="00F72BA8">
      <w:pPr>
        <w:numPr>
          <w:ilvl w:val="1"/>
          <w:numId w:val="18"/>
        </w:numPr>
        <w:jc w:val="both"/>
        <w:rPr>
          <w:sz w:val="24"/>
          <w:szCs w:val="24"/>
        </w:rPr>
      </w:pPr>
      <w:r w:rsidRPr="00897703">
        <w:rPr>
          <w:sz w:val="24"/>
          <w:szCs w:val="24"/>
        </w:rPr>
        <w:t>10% weightage for risk weighted capital ratio framework</w:t>
      </w:r>
    </w:p>
    <w:p w:rsidR="00E152C6" w:rsidRPr="00897703" w:rsidRDefault="00E152C6" w:rsidP="00F72BA8">
      <w:pPr>
        <w:numPr>
          <w:ilvl w:val="1"/>
          <w:numId w:val="18"/>
        </w:numPr>
        <w:jc w:val="both"/>
        <w:rPr>
          <w:sz w:val="24"/>
          <w:szCs w:val="24"/>
        </w:rPr>
      </w:pPr>
      <w:r w:rsidRPr="00897703">
        <w:rPr>
          <w:sz w:val="24"/>
          <w:szCs w:val="24"/>
        </w:rPr>
        <w:t>Class 1 liquefiable status under the liquidity framework</w:t>
      </w:r>
    </w:p>
    <w:p w:rsidR="00E152C6" w:rsidRPr="00897703" w:rsidRDefault="00E152C6" w:rsidP="00F72BA8">
      <w:pPr>
        <w:numPr>
          <w:ilvl w:val="1"/>
          <w:numId w:val="18"/>
        </w:numPr>
        <w:jc w:val="both"/>
        <w:rPr>
          <w:sz w:val="24"/>
          <w:szCs w:val="24"/>
        </w:rPr>
      </w:pPr>
      <w:r w:rsidRPr="00897703">
        <w:rPr>
          <w:sz w:val="24"/>
          <w:szCs w:val="24"/>
        </w:rPr>
        <w:t>4% yield slippage under the Liquidity framework</w:t>
      </w:r>
    </w:p>
    <w:p w:rsidR="00E152C6" w:rsidRPr="00897703" w:rsidRDefault="00E152C6" w:rsidP="00F72BA8">
      <w:pPr>
        <w:numPr>
          <w:ilvl w:val="1"/>
          <w:numId w:val="18"/>
        </w:numPr>
        <w:jc w:val="both"/>
        <w:rPr>
          <w:sz w:val="24"/>
          <w:szCs w:val="24"/>
        </w:rPr>
      </w:pPr>
      <w:r w:rsidRPr="00897703">
        <w:rPr>
          <w:sz w:val="24"/>
          <w:szCs w:val="24"/>
        </w:rPr>
        <w:t>Exempted from Single Customer Credit limit</w:t>
      </w:r>
    </w:p>
    <w:p w:rsidR="00E152C6" w:rsidRPr="00897703" w:rsidRDefault="00E152C6" w:rsidP="00F72BA8">
      <w:pPr>
        <w:numPr>
          <w:ilvl w:val="1"/>
          <w:numId w:val="18"/>
        </w:numPr>
        <w:jc w:val="both"/>
        <w:rPr>
          <w:sz w:val="24"/>
          <w:szCs w:val="24"/>
        </w:rPr>
      </w:pPr>
      <w:r w:rsidRPr="00897703">
        <w:rPr>
          <w:sz w:val="24"/>
          <w:szCs w:val="24"/>
        </w:rPr>
        <w:t>Primary issuance allowed through Principal Dealers network</w:t>
      </w:r>
    </w:p>
    <w:p w:rsidR="00E152C6" w:rsidRPr="00897703" w:rsidRDefault="00E152C6" w:rsidP="00F72BA8">
      <w:pPr>
        <w:numPr>
          <w:ilvl w:val="1"/>
          <w:numId w:val="18"/>
        </w:numPr>
        <w:jc w:val="both"/>
        <w:rPr>
          <w:sz w:val="24"/>
          <w:szCs w:val="24"/>
        </w:rPr>
      </w:pPr>
      <w:r w:rsidRPr="00897703">
        <w:rPr>
          <w:sz w:val="24"/>
          <w:szCs w:val="24"/>
        </w:rPr>
        <w:t>Holdings by Insurance companies granted low risk asset status</w:t>
      </w:r>
    </w:p>
    <w:p w:rsidR="00E152C6" w:rsidRPr="00897703" w:rsidRDefault="00E152C6" w:rsidP="00F72BA8">
      <w:pPr>
        <w:numPr>
          <w:ilvl w:val="0"/>
          <w:numId w:val="18"/>
        </w:numPr>
        <w:jc w:val="both"/>
        <w:rPr>
          <w:sz w:val="24"/>
          <w:szCs w:val="24"/>
        </w:rPr>
      </w:pPr>
      <w:r w:rsidRPr="00897703">
        <w:rPr>
          <w:sz w:val="24"/>
          <w:szCs w:val="24"/>
        </w:rPr>
        <w:t>Entered the Mortgage Securitization market in 2004</w:t>
      </w:r>
    </w:p>
    <w:p w:rsidR="00E152C6" w:rsidRPr="00897703" w:rsidRDefault="00E152C6" w:rsidP="00F72BA8">
      <w:pPr>
        <w:numPr>
          <w:ilvl w:val="0"/>
          <w:numId w:val="18"/>
        </w:numPr>
        <w:jc w:val="both"/>
        <w:rPr>
          <w:sz w:val="24"/>
          <w:szCs w:val="24"/>
        </w:rPr>
      </w:pPr>
      <w:r w:rsidRPr="00897703">
        <w:rPr>
          <w:sz w:val="24"/>
          <w:szCs w:val="24"/>
        </w:rPr>
        <w:t>Extended its range of products to include loan refinancing and purchases, Islamic house financing, industrial property loans, hire purchase and leasing debts, Islamic hire purchase debts, and credit card receivables</w:t>
      </w:r>
    </w:p>
    <w:p w:rsidR="00E152C6" w:rsidRPr="00897703" w:rsidRDefault="00E152C6" w:rsidP="00F72BA8">
      <w:pPr>
        <w:numPr>
          <w:ilvl w:val="0"/>
          <w:numId w:val="18"/>
        </w:numPr>
        <w:jc w:val="both"/>
        <w:rPr>
          <w:sz w:val="24"/>
          <w:szCs w:val="24"/>
        </w:rPr>
      </w:pPr>
      <w:r w:rsidRPr="00897703">
        <w:rPr>
          <w:sz w:val="24"/>
          <w:szCs w:val="24"/>
        </w:rPr>
        <w:t>As at Dec 31, 2007, refinancing of $3.7 bn ($2.7 bn mortgage refinancing) and $4 bn in mortgage/Islamic housing assets</w:t>
      </w:r>
    </w:p>
    <w:p w:rsidR="00E152C6" w:rsidRPr="0071163A" w:rsidRDefault="00E152C6" w:rsidP="00A41E1B">
      <w:pPr>
        <w:numPr>
          <w:ilvl w:val="0"/>
          <w:numId w:val="18"/>
        </w:numPr>
        <w:jc w:val="both"/>
        <w:rPr>
          <w:sz w:val="24"/>
          <w:szCs w:val="24"/>
        </w:rPr>
      </w:pPr>
      <w:r w:rsidRPr="0071163A">
        <w:rPr>
          <w:sz w:val="24"/>
          <w:szCs w:val="24"/>
        </w:rPr>
        <w:t>Market share has progressively declined as the market developed.</w:t>
      </w:r>
      <w:r w:rsidRPr="0071163A">
        <w:rPr>
          <w:b/>
          <w:bCs/>
        </w:rPr>
        <w:t xml:space="preserve"> </w:t>
      </w:r>
    </w:p>
    <w:p w:rsidR="00E152C6" w:rsidRDefault="00E152C6" w:rsidP="0071163A">
      <w:pPr>
        <w:ind w:left="720"/>
        <w:jc w:val="both"/>
        <w:rPr>
          <w:b/>
          <w:bCs/>
        </w:rPr>
      </w:pPr>
    </w:p>
    <w:p w:rsidR="00E152C6" w:rsidRDefault="00E152C6" w:rsidP="0071163A">
      <w:pPr>
        <w:ind w:left="720"/>
        <w:jc w:val="both"/>
        <w:rPr>
          <w:b/>
          <w:bCs/>
        </w:rPr>
      </w:pPr>
      <w:r w:rsidRPr="00F92E18">
        <w:rPr>
          <w:noProof/>
          <w:sz w:val="24"/>
          <w:szCs w:val="24"/>
        </w:rPr>
        <w:pict>
          <v:shape id="_x0000_i1035" type="#_x0000_t75" style="width:459.75pt;height:246.75pt;visibility:visible">
            <v:imagedata r:id="rId17" o:title=""/>
          </v:shape>
        </w:pict>
      </w:r>
    </w:p>
    <w:sectPr w:rsidR="00E152C6" w:rsidSect="006A05BA">
      <w:headerReference w:type="default" r:id="rId18"/>
      <w:footerReference w:type="default" r:id="rId19"/>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52C6" w:rsidRDefault="00E152C6" w:rsidP="00EF054A">
      <w:pPr>
        <w:spacing w:line="240" w:lineRule="auto"/>
      </w:pPr>
      <w:r>
        <w:separator/>
      </w:r>
    </w:p>
  </w:endnote>
  <w:endnote w:type="continuationSeparator" w:id="1">
    <w:p w:rsidR="00E152C6" w:rsidRDefault="00E152C6" w:rsidP="00EF054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Bold">
    <w:panose1 w:val="00000000000000000000"/>
    <w:charset w:val="00"/>
    <w:family w:val="auto"/>
    <w:notTrueType/>
    <w:pitch w:val="default"/>
    <w:sig w:usb0="00000003" w:usb1="00000000" w:usb2="00000000" w:usb3="00000000" w:csb0="00000001" w:csb1="00000000"/>
  </w:font>
  <w:font w:name="Lucida Calligraphy">
    <w:altName w:val="Bradley Hand ITC"/>
    <w:panose1 w:val="00000000000000000000"/>
    <w:charset w:val="00"/>
    <w:family w:val="script"/>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13" w:type="dxa"/>
      <w:tblBorders>
        <w:insideV w:val="single" w:sz="18" w:space="0" w:color="4F81BD"/>
      </w:tblBorders>
      <w:tblCellMar>
        <w:top w:w="58" w:type="dxa"/>
        <w:left w:w="115" w:type="dxa"/>
        <w:bottom w:w="58" w:type="dxa"/>
        <w:right w:w="115" w:type="dxa"/>
      </w:tblCellMar>
      <w:tblLook w:val="00A0"/>
    </w:tblPr>
    <w:tblGrid>
      <w:gridCol w:w="1654"/>
      <w:gridCol w:w="9376"/>
    </w:tblGrid>
    <w:tr w:rsidR="00E152C6" w:rsidRPr="00F92E18">
      <w:tc>
        <w:tcPr>
          <w:tcW w:w="750" w:type="pct"/>
        </w:tcPr>
        <w:p w:rsidR="00E152C6" w:rsidRPr="00F92E18" w:rsidRDefault="00E152C6">
          <w:pPr>
            <w:pStyle w:val="Footer"/>
            <w:jc w:val="right"/>
            <w:rPr>
              <w:color w:val="4F81BD"/>
            </w:rPr>
          </w:pPr>
          <w:fldSimple w:instr=" PAGE   \* MERGEFORMAT ">
            <w:r w:rsidRPr="00CC56A2">
              <w:rPr>
                <w:noProof/>
                <w:color w:val="4F81BD"/>
              </w:rPr>
              <w:t>19</w:t>
            </w:r>
          </w:fldSimple>
        </w:p>
      </w:tc>
      <w:tc>
        <w:tcPr>
          <w:tcW w:w="4250" w:type="pct"/>
        </w:tcPr>
        <w:p w:rsidR="00E152C6" w:rsidRPr="00F92E18" w:rsidRDefault="00E152C6">
          <w:pPr>
            <w:pStyle w:val="Footer"/>
            <w:rPr>
              <w:color w:val="4F81BD"/>
            </w:rPr>
          </w:pPr>
        </w:p>
      </w:tc>
    </w:tr>
  </w:tbl>
  <w:p w:rsidR="00E152C6" w:rsidRDefault="00E152C6" w:rsidP="00F67BB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52C6" w:rsidRDefault="00E152C6" w:rsidP="00EF054A">
      <w:pPr>
        <w:spacing w:line="240" w:lineRule="auto"/>
      </w:pPr>
      <w:r>
        <w:separator/>
      </w:r>
    </w:p>
  </w:footnote>
  <w:footnote w:type="continuationSeparator" w:id="1">
    <w:p w:rsidR="00E152C6" w:rsidRDefault="00E152C6" w:rsidP="00EF054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2C6" w:rsidRPr="0089295D" w:rsidRDefault="00E152C6" w:rsidP="00EF054A">
    <w:pPr>
      <w:pStyle w:val="Header"/>
      <w:jc w:val="right"/>
      <w:rPr>
        <w:rFonts w:ascii="Lucida Calligraphy" w:hAnsi="Lucida Calligraphy" w:cs="Lucida Calligraphy"/>
        <w:color w:val="984806"/>
      </w:rPr>
    </w:pPr>
    <w:r>
      <w:rPr>
        <w:noProof/>
      </w:rPr>
      <w:pict>
        <v:shapetype id="_x0000_t32" coordsize="21600,21600" o:spt="32" o:oned="t" path="m,l21600,21600e" filled="f">
          <v:path arrowok="t" fillok="f" o:connecttype="none"/>
          <o:lock v:ext="edit" shapetype="t"/>
        </v:shapetype>
        <v:shape id="_x0000_s2049" type="#_x0000_t32" style="position:absolute;left:0;text-align:left;margin-left:6.75pt;margin-top:16.5pt;width:535.5pt;height:0;z-index:251660288" o:connectortype="straight" strokecolor="#4f81bd" strokeweight="2.5pt">
          <v:shadow color="#868686"/>
        </v:shape>
      </w:pict>
    </w:r>
    <w:r w:rsidRPr="0089295D">
      <w:rPr>
        <w:rFonts w:ascii="Lucida Calligraphy" w:hAnsi="Lucida Calligraphy" w:cs="Lucida Calligraphy"/>
        <w:color w:val="984806"/>
      </w:rPr>
      <w:t>Concept</w:t>
    </w:r>
    <w:r>
      <w:rPr>
        <w:rFonts w:ascii="Lucida Calligraphy" w:hAnsi="Lucida Calligraphy" w:cs="Lucida Calligraphy"/>
        <w:color w:val="984806"/>
      </w:rPr>
      <w:t xml:space="preserve"> paper</w:t>
    </w:r>
    <w:r w:rsidRPr="0089295D">
      <w:rPr>
        <w:rFonts w:ascii="Lucida Calligraphy" w:hAnsi="Lucida Calligraphy" w:cs="Lucida Calligraphy"/>
        <w:color w:val="984806"/>
      </w:rPr>
      <w:t xml:space="preserve"> on Mortgage Refinance Company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5071746"/>
    <w:multiLevelType w:val="hybridMultilevel"/>
    <w:tmpl w:val="58508E5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8780485"/>
    <w:multiLevelType w:val="hybridMultilevel"/>
    <w:tmpl w:val="43798B0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3343079"/>
    <w:multiLevelType w:val="hybridMultilevel"/>
    <w:tmpl w:val="2D4AC38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912E8DC"/>
    <w:multiLevelType w:val="hybridMultilevel"/>
    <w:tmpl w:val="90DFAAA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1E2BEC5"/>
    <w:multiLevelType w:val="hybridMultilevel"/>
    <w:tmpl w:val="B34A4E5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F52E6F1F"/>
    <w:multiLevelType w:val="hybridMultilevel"/>
    <w:tmpl w:val="F37FF62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3CF82AF"/>
    <w:multiLevelType w:val="hybridMultilevel"/>
    <w:tmpl w:val="C7338F2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4D2262F"/>
    <w:multiLevelType w:val="hybridMultilevel"/>
    <w:tmpl w:val="FF782B7E"/>
    <w:lvl w:ilvl="0" w:tplc="0D5A7438">
      <w:start w:val="1"/>
      <w:numFmt w:val="bullet"/>
      <w:lvlText w:val=""/>
      <w:lvlJc w:val="left"/>
      <w:pPr>
        <w:tabs>
          <w:tab w:val="num" w:pos="720"/>
        </w:tabs>
        <w:ind w:left="720" w:hanging="360"/>
      </w:pPr>
      <w:rPr>
        <w:rFonts w:ascii="Wingdings" w:hAnsi="Wingdings" w:cs="Wingdings" w:hint="default"/>
      </w:rPr>
    </w:lvl>
    <w:lvl w:ilvl="1" w:tplc="153AA7D4">
      <w:start w:val="1"/>
      <w:numFmt w:val="bullet"/>
      <w:lvlText w:val=""/>
      <w:lvlJc w:val="left"/>
      <w:pPr>
        <w:tabs>
          <w:tab w:val="num" w:pos="1440"/>
        </w:tabs>
        <w:ind w:left="1440" w:hanging="360"/>
      </w:pPr>
      <w:rPr>
        <w:rFonts w:ascii="Wingdings" w:hAnsi="Wingdings" w:cs="Wingdings" w:hint="default"/>
      </w:rPr>
    </w:lvl>
    <w:lvl w:ilvl="2" w:tplc="F642D448">
      <w:start w:val="1"/>
      <w:numFmt w:val="bullet"/>
      <w:lvlText w:val=""/>
      <w:lvlJc w:val="left"/>
      <w:pPr>
        <w:tabs>
          <w:tab w:val="num" w:pos="2160"/>
        </w:tabs>
        <w:ind w:left="2160" w:hanging="360"/>
      </w:pPr>
      <w:rPr>
        <w:rFonts w:ascii="Wingdings" w:hAnsi="Wingdings" w:cs="Wingdings" w:hint="default"/>
      </w:rPr>
    </w:lvl>
    <w:lvl w:ilvl="3" w:tplc="7988BE98">
      <w:start w:val="1"/>
      <w:numFmt w:val="bullet"/>
      <w:lvlText w:val=""/>
      <w:lvlJc w:val="left"/>
      <w:pPr>
        <w:tabs>
          <w:tab w:val="num" w:pos="2880"/>
        </w:tabs>
        <w:ind w:left="2880" w:hanging="360"/>
      </w:pPr>
      <w:rPr>
        <w:rFonts w:ascii="Wingdings" w:hAnsi="Wingdings" w:cs="Wingdings" w:hint="default"/>
      </w:rPr>
    </w:lvl>
    <w:lvl w:ilvl="4" w:tplc="7BCA8460">
      <w:start w:val="1"/>
      <w:numFmt w:val="bullet"/>
      <w:lvlText w:val=""/>
      <w:lvlJc w:val="left"/>
      <w:pPr>
        <w:tabs>
          <w:tab w:val="num" w:pos="3600"/>
        </w:tabs>
        <w:ind w:left="3600" w:hanging="360"/>
      </w:pPr>
      <w:rPr>
        <w:rFonts w:ascii="Wingdings" w:hAnsi="Wingdings" w:cs="Wingdings" w:hint="default"/>
      </w:rPr>
    </w:lvl>
    <w:lvl w:ilvl="5" w:tplc="FF805CB6">
      <w:start w:val="1"/>
      <w:numFmt w:val="bullet"/>
      <w:lvlText w:val=""/>
      <w:lvlJc w:val="left"/>
      <w:pPr>
        <w:tabs>
          <w:tab w:val="num" w:pos="4320"/>
        </w:tabs>
        <w:ind w:left="4320" w:hanging="360"/>
      </w:pPr>
      <w:rPr>
        <w:rFonts w:ascii="Wingdings" w:hAnsi="Wingdings" w:cs="Wingdings" w:hint="default"/>
      </w:rPr>
    </w:lvl>
    <w:lvl w:ilvl="6" w:tplc="281E54A0">
      <w:start w:val="1"/>
      <w:numFmt w:val="bullet"/>
      <w:lvlText w:val=""/>
      <w:lvlJc w:val="left"/>
      <w:pPr>
        <w:tabs>
          <w:tab w:val="num" w:pos="5040"/>
        </w:tabs>
        <w:ind w:left="5040" w:hanging="360"/>
      </w:pPr>
      <w:rPr>
        <w:rFonts w:ascii="Wingdings" w:hAnsi="Wingdings" w:cs="Wingdings" w:hint="default"/>
      </w:rPr>
    </w:lvl>
    <w:lvl w:ilvl="7" w:tplc="0DA60E0A">
      <w:start w:val="1"/>
      <w:numFmt w:val="bullet"/>
      <w:lvlText w:val=""/>
      <w:lvlJc w:val="left"/>
      <w:pPr>
        <w:tabs>
          <w:tab w:val="num" w:pos="5760"/>
        </w:tabs>
        <w:ind w:left="5760" w:hanging="360"/>
      </w:pPr>
      <w:rPr>
        <w:rFonts w:ascii="Wingdings" w:hAnsi="Wingdings" w:cs="Wingdings" w:hint="default"/>
      </w:rPr>
    </w:lvl>
    <w:lvl w:ilvl="8" w:tplc="DBF4BAE2">
      <w:start w:val="1"/>
      <w:numFmt w:val="bullet"/>
      <w:lvlText w:val=""/>
      <w:lvlJc w:val="left"/>
      <w:pPr>
        <w:tabs>
          <w:tab w:val="num" w:pos="6480"/>
        </w:tabs>
        <w:ind w:left="6480" w:hanging="360"/>
      </w:pPr>
      <w:rPr>
        <w:rFonts w:ascii="Wingdings" w:hAnsi="Wingdings" w:cs="Wingdings" w:hint="default"/>
      </w:rPr>
    </w:lvl>
  </w:abstractNum>
  <w:abstractNum w:abstractNumId="8">
    <w:nsid w:val="0B8C35AE"/>
    <w:multiLevelType w:val="hybridMultilevel"/>
    <w:tmpl w:val="221A8FDA"/>
    <w:lvl w:ilvl="0" w:tplc="1A3AA500">
      <w:start w:val="1"/>
      <w:numFmt w:val="bullet"/>
      <w:lvlText w:val=""/>
      <w:lvlJc w:val="left"/>
      <w:pPr>
        <w:tabs>
          <w:tab w:val="num" w:pos="720"/>
        </w:tabs>
        <w:ind w:left="720" w:hanging="360"/>
      </w:pPr>
      <w:rPr>
        <w:rFonts w:ascii="Wingdings" w:hAnsi="Wingdings" w:cs="Wingdings" w:hint="default"/>
      </w:rPr>
    </w:lvl>
    <w:lvl w:ilvl="1" w:tplc="7594084E">
      <w:start w:val="901"/>
      <w:numFmt w:val="bullet"/>
      <w:lvlText w:val="•"/>
      <w:lvlJc w:val="left"/>
      <w:pPr>
        <w:tabs>
          <w:tab w:val="num" w:pos="1440"/>
        </w:tabs>
        <w:ind w:left="1440" w:hanging="360"/>
      </w:pPr>
      <w:rPr>
        <w:rFonts w:ascii="Times New Roman" w:hAnsi="Times New Roman" w:cs="Times New Roman" w:hint="default"/>
      </w:rPr>
    </w:lvl>
    <w:lvl w:ilvl="2" w:tplc="F064DDE0">
      <w:start w:val="1"/>
      <w:numFmt w:val="bullet"/>
      <w:lvlText w:val=""/>
      <w:lvlJc w:val="left"/>
      <w:pPr>
        <w:tabs>
          <w:tab w:val="num" w:pos="2160"/>
        </w:tabs>
        <w:ind w:left="2160" w:hanging="360"/>
      </w:pPr>
      <w:rPr>
        <w:rFonts w:ascii="Wingdings" w:hAnsi="Wingdings" w:cs="Wingdings" w:hint="default"/>
      </w:rPr>
    </w:lvl>
    <w:lvl w:ilvl="3" w:tplc="8FD68186">
      <w:start w:val="1"/>
      <w:numFmt w:val="bullet"/>
      <w:lvlText w:val=""/>
      <w:lvlJc w:val="left"/>
      <w:pPr>
        <w:tabs>
          <w:tab w:val="num" w:pos="2880"/>
        </w:tabs>
        <w:ind w:left="2880" w:hanging="360"/>
      </w:pPr>
      <w:rPr>
        <w:rFonts w:ascii="Wingdings" w:hAnsi="Wingdings" w:cs="Wingdings" w:hint="default"/>
      </w:rPr>
    </w:lvl>
    <w:lvl w:ilvl="4" w:tplc="8F263792">
      <w:start w:val="1"/>
      <w:numFmt w:val="bullet"/>
      <w:lvlText w:val=""/>
      <w:lvlJc w:val="left"/>
      <w:pPr>
        <w:tabs>
          <w:tab w:val="num" w:pos="3600"/>
        </w:tabs>
        <w:ind w:left="3600" w:hanging="360"/>
      </w:pPr>
      <w:rPr>
        <w:rFonts w:ascii="Wingdings" w:hAnsi="Wingdings" w:cs="Wingdings" w:hint="default"/>
      </w:rPr>
    </w:lvl>
    <w:lvl w:ilvl="5" w:tplc="39362582">
      <w:start w:val="1"/>
      <w:numFmt w:val="bullet"/>
      <w:lvlText w:val=""/>
      <w:lvlJc w:val="left"/>
      <w:pPr>
        <w:tabs>
          <w:tab w:val="num" w:pos="4320"/>
        </w:tabs>
        <w:ind w:left="4320" w:hanging="360"/>
      </w:pPr>
      <w:rPr>
        <w:rFonts w:ascii="Wingdings" w:hAnsi="Wingdings" w:cs="Wingdings" w:hint="default"/>
      </w:rPr>
    </w:lvl>
    <w:lvl w:ilvl="6" w:tplc="48E4A6B4">
      <w:start w:val="1"/>
      <w:numFmt w:val="bullet"/>
      <w:lvlText w:val=""/>
      <w:lvlJc w:val="left"/>
      <w:pPr>
        <w:tabs>
          <w:tab w:val="num" w:pos="5040"/>
        </w:tabs>
        <w:ind w:left="5040" w:hanging="360"/>
      </w:pPr>
      <w:rPr>
        <w:rFonts w:ascii="Wingdings" w:hAnsi="Wingdings" w:cs="Wingdings" w:hint="default"/>
      </w:rPr>
    </w:lvl>
    <w:lvl w:ilvl="7" w:tplc="F4CA8BBA">
      <w:start w:val="1"/>
      <w:numFmt w:val="bullet"/>
      <w:lvlText w:val=""/>
      <w:lvlJc w:val="left"/>
      <w:pPr>
        <w:tabs>
          <w:tab w:val="num" w:pos="5760"/>
        </w:tabs>
        <w:ind w:left="5760" w:hanging="360"/>
      </w:pPr>
      <w:rPr>
        <w:rFonts w:ascii="Wingdings" w:hAnsi="Wingdings" w:cs="Wingdings" w:hint="default"/>
      </w:rPr>
    </w:lvl>
    <w:lvl w:ilvl="8" w:tplc="E9642762">
      <w:start w:val="1"/>
      <w:numFmt w:val="bullet"/>
      <w:lvlText w:val=""/>
      <w:lvlJc w:val="left"/>
      <w:pPr>
        <w:tabs>
          <w:tab w:val="num" w:pos="6480"/>
        </w:tabs>
        <w:ind w:left="6480" w:hanging="360"/>
      </w:pPr>
      <w:rPr>
        <w:rFonts w:ascii="Wingdings" w:hAnsi="Wingdings" w:cs="Wingdings" w:hint="default"/>
      </w:rPr>
    </w:lvl>
  </w:abstractNum>
  <w:abstractNum w:abstractNumId="9">
    <w:nsid w:val="10B7603B"/>
    <w:multiLevelType w:val="hybridMultilevel"/>
    <w:tmpl w:val="2444A780"/>
    <w:lvl w:ilvl="0" w:tplc="5B869BCE">
      <w:start w:val="1"/>
      <w:numFmt w:val="bullet"/>
      <w:lvlText w:val=""/>
      <w:lvlJc w:val="left"/>
      <w:pPr>
        <w:tabs>
          <w:tab w:val="num" w:pos="720"/>
        </w:tabs>
        <w:ind w:left="720" w:hanging="360"/>
      </w:pPr>
      <w:rPr>
        <w:rFonts w:ascii="Wingdings" w:hAnsi="Wingdings" w:cs="Wingdings" w:hint="default"/>
      </w:rPr>
    </w:lvl>
    <w:lvl w:ilvl="1" w:tplc="CFBA8FC2">
      <w:start w:val="1"/>
      <w:numFmt w:val="bullet"/>
      <w:lvlText w:val=""/>
      <w:lvlJc w:val="left"/>
      <w:pPr>
        <w:tabs>
          <w:tab w:val="num" w:pos="1440"/>
        </w:tabs>
        <w:ind w:left="1440" w:hanging="360"/>
      </w:pPr>
      <w:rPr>
        <w:rFonts w:ascii="Wingdings" w:hAnsi="Wingdings" w:cs="Wingdings" w:hint="default"/>
      </w:rPr>
    </w:lvl>
    <w:lvl w:ilvl="2" w:tplc="71C2C3DC">
      <w:start w:val="1"/>
      <w:numFmt w:val="bullet"/>
      <w:lvlText w:val=""/>
      <w:lvlJc w:val="left"/>
      <w:pPr>
        <w:tabs>
          <w:tab w:val="num" w:pos="2160"/>
        </w:tabs>
        <w:ind w:left="2160" w:hanging="360"/>
      </w:pPr>
      <w:rPr>
        <w:rFonts w:ascii="Wingdings" w:hAnsi="Wingdings" w:cs="Wingdings" w:hint="default"/>
      </w:rPr>
    </w:lvl>
    <w:lvl w:ilvl="3" w:tplc="6CEE5622">
      <w:start w:val="1"/>
      <w:numFmt w:val="bullet"/>
      <w:lvlText w:val=""/>
      <w:lvlJc w:val="left"/>
      <w:pPr>
        <w:tabs>
          <w:tab w:val="num" w:pos="2880"/>
        </w:tabs>
        <w:ind w:left="2880" w:hanging="360"/>
      </w:pPr>
      <w:rPr>
        <w:rFonts w:ascii="Wingdings" w:hAnsi="Wingdings" w:cs="Wingdings" w:hint="default"/>
      </w:rPr>
    </w:lvl>
    <w:lvl w:ilvl="4" w:tplc="F27AF50E">
      <w:start w:val="1"/>
      <w:numFmt w:val="bullet"/>
      <w:lvlText w:val=""/>
      <w:lvlJc w:val="left"/>
      <w:pPr>
        <w:tabs>
          <w:tab w:val="num" w:pos="3600"/>
        </w:tabs>
        <w:ind w:left="3600" w:hanging="360"/>
      </w:pPr>
      <w:rPr>
        <w:rFonts w:ascii="Wingdings" w:hAnsi="Wingdings" w:cs="Wingdings" w:hint="default"/>
      </w:rPr>
    </w:lvl>
    <w:lvl w:ilvl="5" w:tplc="AA6EC5E4">
      <w:start w:val="1"/>
      <w:numFmt w:val="bullet"/>
      <w:lvlText w:val=""/>
      <w:lvlJc w:val="left"/>
      <w:pPr>
        <w:tabs>
          <w:tab w:val="num" w:pos="4320"/>
        </w:tabs>
        <w:ind w:left="4320" w:hanging="360"/>
      </w:pPr>
      <w:rPr>
        <w:rFonts w:ascii="Wingdings" w:hAnsi="Wingdings" w:cs="Wingdings" w:hint="default"/>
      </w:rPr>
    </w:lvl>
    <w:lvl w:ilvl="6" w:tplc="2F565EB4">
      <w:start w:val="1"/>
      <w:numFmt w:val="bullet"/>
      <w:lvlText w:val=""/>
      <w:lvlJc w:val="left"/>
      <w:pPr>
        <w:tabs>
          <w:tab w:val="num" w:pos="5040"/>
        </w:tabs>
        <w:ind w:left="5040" w:hanging="360"/>
      </w:pPr>
      <w:rPr>
        <w:rFonts w:ascii="Wingdings" w:hAnsi="Wingdings" w:cs="Wingdings" w:hint="default"/>
      </w:rPr>
    </w:lvl>
    <w:lvl w:ilvl="7" w:tplc="B7D26D4A">
      <w:start w:val="1"/>
      <w:numFmt w:val="bullet"/>
      <w:lvlText w:val=""/>
      <w:lvlJc w:val="left"/>
      <w:pPr>
        <w:tabs>
          <w:tab w:val="num" w:pos="5760"/>
        </w:tabs>
        <w:ind w:left="5760" w:hanging="360"/>
      </w:pPr>
      <w:rPr>
        <w:rFonts w:ascii="Wingdings" w:hAnsi="Wingdings" w:cs="Wingdings" w:hint="default"/>
      </w:rPr>
    </w:lvl>
    <w:lvl w:ilvl="8" w:tplc="12BC37A4">
      <w:start w:val="1"/>
      <w:numFmt w:val="bullet"/>
      <w:lvlText w:val=""/>
      <w:lvlJc w:val="left"/>
      <w:pPr>
        <w:tabs>
          <w:tab w:val="num" w:pos="6480"/>
        </w:tabs>
        <w:ind w:left="6480" w:hanging="360"/>
      </w:pPr>
      <w:rPr>
        <w:rFonts w:ascii="Wingdings" w:hAnsi="Wingdings" w:cs="Wingdings" w:hint="default"/>
      </w:rPr>
    </w:lvl>
  </w:abstractNum>
  <w:abstractNum w:abstractNumId="10">
    <w:nsid w:val="1AEB6BE5"/>
    <w:multiLevelType w:val="hybridMultilevel"/>
    <w:tmpl w:val="EBD8651A"/>
    <w:lvl w:ilvl="0" w:tplc="2E8C2F96">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nsid w:val="2DF07D41"/>
    <w:multiLevelType w:val="hybridMultilevel"/>
    <w:tmpl w:val="E69EEB62"/>
    <w:lvl w:ilvl="0" w:tplc="AA20167A">
      <w:start w:val="1"/>
      <w:numFmt w:val="bullet"/>
      <w:lvlText w:val=""/>
      <w:lvlJc w:val="left"/>
      <w:pPr>
        <w:tabs>
          <w:tab w:val="num" w:pos="720"/>
        </w:tabs>
        <w:ind w:left="720" w:hanging="360"/>
      </w:pPr>
      <w:rPr>
        <w:rFonts w:ascii="Wingdings" w:hAnsi="Wingdings" w:cs="Wingdings" w:hint="default"/>
      </w:rPr>
    </w:lvl>
    <w:lvl w:ilvl="1" w:tplc="999A3C2E">
      <w:start w:val="992"/>
      <w:numFmt w:val="bullet"/>
      <w:lvlText w:val="•"/>
      <w:lvlJc w:val="left"/>
      <w:pPr>
        <w:tabs>
          <w:tab w:val="num" w:pos="1440"/>
        </w:tabs>
        <w:ind w:left="1440" w:hanging="360"/>
      </w:pPr>
      <w:rPr>
        <w:rFonts w:ascii="Times New Roman" w:hAnsi="Times New Roman" w:cs="Times New Roman" w:hint="default"/>
      </w:rPr>
    </w:lvl>
    <w:lvl w:ilvl="2" w:tplc="1106886C">
      <w:start w:val="1"/>
      <w:numFmt w:val="bullet"/>
      <w:lvlText w:val=""/>
      <w:lvlJc w:val="left"/>
      <w:pPr>
        <w:tabs>
          <w:tab w:val="num" w:pos="2160"/>
        </w:tabs>
        <w:ind w:left="2160" w:hanging="360"/>
      </w:pPr>
      <w:rPr>
        <w:rFonts w:ascii="Wingdings" w:hAnsi="Wingdings" w:cs="Wingdings" w:hint="default"/>
      </w:rPr>
    </w:lvl>
    <w:lvl w:ilvl="3" w:tplc="1B2E2C5E">
      <w:start w:val="1"/>
      <w:numFmt w:val="bullet"/>
      <w:lvlText w:val=""/>
      <w:lvlJc w:val="left"/>
      <w:pPr>
        <w:tabs>
          <w:tab w:val="num" w:pos="2880"/>
        </w:tabs>
        <w:ind w:left="2880" w:hanging="360"/>
      </w:pPr>
      <w:rPr>
        <w:rFonts w:ascii="Wingdings" w:hAnsi="Wingdings" w:cs="Wingdings" w:hint="default"/>
      </w:rPr>
    </w:lvl>
    <w:lvl w:ilvl="4" w:tplc="68B8FAAC">
      <w:start w:val="1"/>
      <w:numFmt w:val="bullet"/>
      <w:lvlText w:val=""/>
      <w:lvlJc w:val="left"/>
      <w:pPr>
        <w:tabs>
          <w:tab w:val="num" w:pos="3600"/>
        </w:tabs>
        <w:ind w:left="3600" w:hanging="360"/>
      </w:pPr>
      <w:rPr>
        <w:rFonts w:ascii="Wingdings" w:hAnsi="Wingdings" w:cs="Wingdings" w:hint="default"/>
      </w:rPr>
    </w:lvl>
    <w:lvl w:ilvl="5" w:tplc="5E44B216">
      <w:start w:val="1"/>
      <w:numFmt w:val="bullet"/>
      <w:lvlText w:val=""/>
      <w:lvlJc w:val="left"/>
      <w:pPr>
        <w:tabs>
          <w:tab w:val="num" w:pos="4320"/>
        </w:tabs>
        <w:ind w:left="4320" w:hanging="360"/>
      </w:pPr>
      <w:rPr>
        <w:rFonts w:ascii="Wingdings" w:hAnsi="Wingdings" w:cs="Wingdings" w:hint="default"/>
      </w:rPr>
    </w:lvl>
    <w:lvl w:ilvl="6" w:tplc="A85C4A18">
      <w:start w:val="1"/>
      <w:numFmt w:val="bullet"/>
      <w:lvlText w:val=""/>
      <w:lvlJc w:val="left"/>
      <w:pPr>
        <w:tabs>
          <w:tab w:val="num" w:pos="5040"/>
        </w:tabs>
        <w:ind w:left="5040" w:hanging="360"/>
      </w:pPr>
      <w:rPr>
        <w:rFonts w:ascii="Wingdings" w:hAnsi="Wingdings" w:cs="Wingdings" w:hint="default"/>
      </w:rPr>
    </w:lvl>
    <w:lvl w:ilvl="7" w:tplc="DBAE5A28">
      <w:start w:val="1"/>
      <w:numFmt w:val="bullet"/>
      <w:lvlText w:val=""/>
      <w:lvlJc w:val="left"/>
      <w:pPr>
        <w:tabs>
          <w:tab w:val="num" w:pos="5760"/>
        </w:tabs>
        <w:ind w:left="5760" w:hanging="360"/>
      </w:pPr>
      <w:rPr>
        <w:rFonts w:ascii="Wingdings" w:hAnsi="Wingdings" w:cs="Wingdings" w:hint="default"/>
      </w:rPr>
    </w:lvl>
    <w:lvl w:ilvl="8" w:tplc="20AEFDA6">
      <w:start w:val="1"/>
      <w:numFmt w:val="bullet"/>
      <w:lvlText w:val=""/>
      <w:lvlJc w:val="left"/>
      <w:pPr>
        <w:tabs>
          <w:tab w:val="num" w:pos="6480"/>
        </w:tabs>
        <w:ind w:left="6480" w:hanging="360"/>
      </w:pPr>
      <w:rPr>
        <w:rFonts w:ascii="Wingdings" w:hAnsi="Wingdings" w:cs="Wingdings" w:hint="default"/>
      </w:rPr>
    </w:lvl>
  </w:abstractNum>
  <w:abstractNum w:abstractNumId="12">
    <w:nsid w:val="39774C60"/>
    <w:multiLevelType w:val="hybridMultilevel"/>
    <w:tmpl w:val="6DCC9C94"/>
    <w:lvl w:ilvl="0" w:tplc="FE3A8B52">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424E65F9"/>
    <w:multiLevelType w:val="hybridMultilevel"/>
    <w:tmpl w:val="90FC96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5A93155"/>
    <w:multiLevelType w:val="hybridMultilevel"/>
    <w:tmpl w:val="86B44B3C"/>
    <w:lvl w:ilvl="0" w:tplc="C0C6E0E6">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4E1367EE"/>
    <w:multiLevelType w:val="hybridMultilevel"/>
    <w:tmpl w:val="C900B6AA"/>
    <w:lvl w:ilvl="0" w:tplc="327AC5C2">
      <w:start w:val="1"/>
      <w:numFmt w:val="bullet"/>
      <w:lvlText w:val=""/>
      <w:lvlJc w:val="left"/>
      <w:pPr>
        <w:tabs>
          <w:tab w:val="num" w:pos="720"/>
        </w:tabs>
        <w:ind w:left="720" w:hanging="360"/>
      </w:pPr>
      <w:rPr>
        <w:rFonts w:ascii="Wingdings" w:hAnsi="Wingdings" w:cs="Wingdings" w:hint="default"/>
      </w:rPr>
    </w:lvl>
    <w:lvl w:ilvl="1" w:tplc="41DA93C0">
      <w:start w:val="1005"/>
      <w:numFmt w:val="bullet"/>
      <w:lvlText w:val="•"/>
      <w:lvlJc w:val="left"/>
      <w:pPr>
        <w:tabs>
          <w:tab w:val="num" w:pos="1440"/>
        </w:tabs>
        <w:ind w:left="1440" w:hanging="360"/>
      </w:pPr>
      <w:rPr>
        <w:rFonts w:ascii="Times New Roman" w:hAnsi="Times New Roman" w:cs="Times New Roman" w:hint="default"/>
      </w:rPr>
    </w:lvl>
    <w:lvl w:ilvl="2" w:tplc="D7822E8E">
      <w:start w:val="1"/>
      <w:numFmt w:val="bullet"/>
      <w:lvlText w:val=""/>
      <w:lvlJc w:val="left"/>
      <w:pPr>
        <w:tabs>
          <w:tab w:val="num" w:pos="2160"/>
        </w:tabs>
        <w:ind w:left="2160" w:hanging="360"/>
      </w:pPr>
      <w:rPr>
        <w:rFonts w:ascii="Wingdings" w:hAnsi="Wingdings" w:cs="Wingdings" w:hint="default"/>
      </w:rPr>
    </w:lvl>
    <w:lvl w:ilvl="3" w:tplc="7436B2C0">
      <w:start w:val="1"/>
      <w:numFmt w:val="bullet"/>
      <w:lvlText w:val=""/>
      <w:lvlJc w:val="left"/>
      <w:pPr>
        <w:tabs>
          <w:tab w:val="num" w:pos="2880"/>
        </w:tabs>
        <w:ind w:left="2880" w:hanging="360"/>
      </w:pPr>
      <w:rPr>
        <w:rFonts w:ascii="Wingdings" w:hAnsi="Wingdings" w:cs="Wingdings" w:hint="default"/>
      </w:rPr>
    </w:lvl>
    <w:lvl w:ilvl="4" w:tplc="24C87842">
      <w:start w:val="1"/>
      <w:numFmt w:val="bullet"/>
      <w:lvlText w:val=""/>
      <w:lvlJc w:val="left"/>
      <w:pPr>
        <w:tabs>
          <w:tab w:val="num" w:pos="3600"/>
        </w:tabs>
        <w:ind w:left="3600" w:hanging="360"/>
      </w:pPr>
      <w:rPr>
        <w:rFonts w:ascii="Wingdings" w:hAnsi="Wingdings" w:cs="Wingdings" w:hint="default"/>
      </w:rPr>
    </w:lvl>
    <w:lvl w:ilvl="5" w:tplc="1E82B886">
      <w:start w:val="1"/>
      <w:numFmt w:val="bullet"/>
      <w:lvlText w:val=""/>
      <w:lvlJc w:val="left"/>
      <w:pPr>
        <w:tabs>
          <w:tab w:val="num" w:pos="4320"/>
        </w:tabs>
        <w:ind w:left="4320" w:hanging="360"/>
      </w:pPr>
      <w:rPr>
        <w:rFonts w:ascii="Wingdings" w:hAnsi="Wingdings" w:cs="Wingdings" w:hint="default"/>
      </w:rPr>
    </w:lvl>
    <w:lvl w:ilvl="6" w:tplc="5E64B018">
      <w:start w:val="1"/>
      <w:numFmt w:val="bullet"/>
      <w:lvlText w:val=""/>
      <w:lvlJc w:val="left"/>
      <w:pPr>
        <w:tabs>
          <w:tab w:val="num" w:pos="5040"/>
        </w:tabs>
        <w:ind w:left="5040" w:hanging="360"/>
      </w:pPr>
      <w:rPr>
        <w:rFonts w:ascii="Wingdings" w:hAnsi="Wingdings" w:cs="Wingdings" w:hint="default"/>
      </w:rPr>
    </w:lvl>
    <w:lvl w:ilvl="7" w:tplc="0F1ACB06">
      <w:start w:val="1"/>
      <w:numFmt w:val="bullet"/>
      <w:lvlText w:val=""/>
      <w:lvlJc w:val="left"/>
      <w:pPr>
        <w:tabs>
          <w:tab w:val="num" w:pos="5760"/>
        </w:tabs>
        <w:ind w:left="5760" w:hanging="360"/>
      </w:pPr>
      <w:rPr>
        <w:rFonts w:ascii="Wingdings" w:hAnsi="Wingdings" w:cs="Wingdings" w:hint="default"/>
      </w:rPr>
    </w:lvl>
    <w:lvl w:ilvl="8" w:tplc="48900D3E">
      <w:start w:val="1"/>
      <w:numFmt w:val="bullet"/>
      <w:lvlText w:val=""/>
      <w:lvlJc w:val="left"/>
      <w:pPr>
        <w:tabs>
          <w:tab w:val="num" w:pos="6480"/>
        </w:tabs>
        <w:ind w:left="6480" w:hanging="360"/>
      </w:pPr>
      <w:rPr>
        <w:rFonts w:ascii="Wingdings" w:hAnsi="Wingdings" w:cs="Wingdings" w:hint="default"/>
      </w:rPr>
    </w:lvl>
  </w:abstractNum>
  <w:abstractNum w:abstractNumId="16">
    <w:nsid w:val="595567F1"/>
    <w:multiLevelType w:val="hybridMultilevel"/>
    <w:tmpl w:val="991AF6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5F19C97D"/>
    <w:multiLevelType w:val="hybridMultilevel"/>
    <w:tmpl w:val="D4D13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6C7F0AAE"/>
    <w:multiLevelType w:val="hybridMultilevel"/>
    <w:tmpl w:val="E4F8AE48"/>
    <w:lvl w:ilvl="0" w:tplc="B67A0D8C">
      <w:start w:val="1"/>
      <w:numFmt w:val="bullet"/>
      <w:lvlText w:val=""/>
      <w:lvlJc w:val="left"/>
      <w:pPr>
        <w:tabs>
          <w:tab w:val="num" w:pos="720"/>
        </w:tabs>
        <w:ind w:left="720" w:hanging="360"/>
      </w:pPr>
      <w:rPr>
        <w:rFonts w:ascii="Wingdings" w:hAnsi="Wingdings" w:cs="Wingdings" w:hint="default"/>
      </w:rPr>
    </w:lvl>
    <w:lvl w:ilvl="1" w:tplc="3932B94A">
      <w:start w:val="1"/>
      <w:numFmt w:val="bullet"/>
      <w:lvlText w:val=""/>
      <w:lvlJc w:val="left"/>
      <w:pPr>
        <w:tabs>
          <w:tab w:val="num" w:pos="1440"/>
        </w:tabs>
        <w:ind w:left="1440" w:hanging="360"/>
      </w:pPr>
      <w:rPr>
        <w:rFonts w:ascii="Wingdings" w:hAnsi="Wingdings" w:cs="Wingdings" w:hint="default"/>
      </w:rPr>
    </w:lvl>
    <w:lvl w:ilvl="2" w:tplc="F672F612">
      <w:start w:val="1"/>
      <w:numFmt w:val="bullet"/>
      <w:lvlText w:val=""/>
      <w:lvlJc w:val="left"/>
      <w:pPr>
        <w:tabs>
          <w:tab w:val="num" w:pos="2160"/>
        </w:tabs>
        <w:ind w:left="2160" w:hanging="360"/>
      </w:pPr>
      <w:rPr>
        <w:rFonts w:ascii="Wingdings" w:hAnsi="Wingdings" w:cs="Wingdings" w:hint="default"/>
      </w:rPr>
    </w:lvl>
    <w:lvl w:ilvl="3" w:tplc="91B42AE0">
      <w:start w:val="1"/>
      <w:numFmt w:val="bullet"/>
      <w:lvlText w:val=""/>
      <w:lvlJc w:val="left"/>
      <w:pPr>
        <w:tabs>
          <w:tab w:val="num" w:pos="2880"/>
        </w:tabs>
        <w:ind w:left="2880" w:hanging="360"/>
      </w:pPr>
      <w:rPr>
        <w:rFonts w:ascii="Wingdings" w:hAnsi="Wingdings" w:cs="Wingdings" w:hint="default"/>
      </w:rPr>
    </w:lvl>
    <w:lvl w:ilvl="4" w:tplc="2ED4CCDA">
      <w:start w:val="1"/>
      <w:numFmt w:val="bullet"/>
      <w:lvlText w:val=""/>
      <w:lvlJc w:val="left"/>
      <w:pPr>
        <w:tabs>
          <w:tab w:val="num" w:pos="3600"/>
        </w:tabs>
        <w:ind w:left="3600" w:hanging="360"/>
      </w:pPr>
      <w:rPr>
        <w:rFonts w:ascii="Wingdings" w:hAnsi="Wingdings" w:cs="Wingdings" w:hint="default"/>
      </w:rPr>
    </w:lvl>
    <w:lvl w:ilvl="5" w:tplc="54023712">
      <w:start w:val="1"/>
      <w:numFmt w:val="bullet"/>
      <w:lvlText w:val=""/>
      <w:lvlJc w:val="left"/>
      <w:pPr>
        <w:tabs>
          <w:tab w:val="num" w:pos="4320"/>
        </w:tabs>
        <w:ind w:left="4320" w:hanging="360"/>
      </w:pPr>
      <w:rPr>
        <w:rFonts w:ascii="Wingdings" w:hAnsi="Wingdings" w:cs="Wingdings" w:hint="default"/>
      </w:rPr>
    </w:lvl>
    <w:lvl w:ilvl="6" w:tplc="102E1810">
      <w:start w:val="1"/>
      <w:numFmt w:val="bullet"/>
      <w:lvlText w:val=""/>
      <w:lvlJc w:val="left"/>
      <w:pPr>
        <w:tabs>
          <w:tab w:val="num" w:pos="5040"/>
        </w:tabs>
        <w:ind w:left="5040" w:hanging="360"/>
      </w:pPr>
      <w:rPr>
        <w:rFonts w:ascii="Wingdings" w:hAnsi="Wingdings" w:cs="Wingdings" w:hint="default"/>
      </w:rPr>
    </w:lvl>
    <w:lvl w:ilvl="7" w:tplc="6C822E20">
      <w:start w:val="1"/>
      <w:numFmt w:val="bullet"/>
      <w:lvlText w:val=""/>
      <w:lvlJc w:val="left"/>
      <w:pPr>
        <w:tabs>
          <w:tab w:val="num" w:pos="5760"/>
        </w:tabs>
        <w:ind w:left="5760" w:hanging="360"/>
      </w:pPr>
      <w:rPr>
        <w:rFonts w:ascii="Wingdings" w:hAnsi="Wingdings" w:cs="Wingdings" w:hint="default"/>
      </w:rPr>
    </w:lvl>
    <w:lvl w:ilvl="8" w:tplc="0BE004FA">
      <w:start w:val="1"/>
      <w:numFmt w:val="bullet"/>
      <w:lvlText w:val=""/>
      <w:lvlJc w:val="left"/>
      <w:pPr>
        <w:tabs>
          <w:tab w:val="num" w:pos="6480"/>
        </w:tabs>
        <w:ind w:left="6480" w:hanging="360"/>
      </w:pPr>
      <w:rPr>
        <w:rFonts w:ascii="Wingdings" w:hAnsi="Wingdings" w:cs="Wingdings" w:hint="default"/>
      </w:rPr>
    </w:lvl>
  </w:abstractNum>
  <w:abstractNum w:abstractNumId="19">
    <w:nsid w:val="72504603"/>
    <w:multiLevelType w:val="hybridMultilevel"/>
    <w:tmpl w:val="527E34F8"/>
    <w:lvl w:ilvl="0" w:tplc="8B34DC60">
      <w:start w:val="1"/>
      <w:numFmt w:val="bullet"/>
      <w:lvlText w:val=""/>
      <w:lvlJc w:val="left"/>
      <w:pPr>
        <w:tabs>
          <w:tab w:val="num" w:pos="720"/>
        </w:tabs>
        <w:ind w:left="720" w:hanging="360"/>
      </w:pPr>
      <w:rPr>
        <w:rFonts w:ascii="Wingdings" w:hAnsi="Wingdings" w:cs="Wingdings" w:hint="default"/>
      </w:rPr>
    </w:lvl>
    <w:lvl w:ilvl="1" w:tplc="CEDC84FE">
      <w:start w:val="1003"/>
      <w:numFmt w:val="bullet"/>
      <w:lvlText w:val="•"/>
      <w:lvlJc w:val="left"/>
      <w:pPr>
        <w:tabs>
          <w:tab w:val="num" w:pos="1440"/>
        </w:tabs>
        <w:ind w:left="1440" w:hanging="360"/>
      </w:pPr>
      <w:rPr>
        <w:rFonts w:ascii="Times New Roman" w:hAnsi="Times New Roman" w:cs="Times New Roman" w:hint="default"/>
      </w:rPr>
    </w:lvl>
    <w:lvl w:ilvl="2" w:tplc="71EE3142">
      <w:start w:val="1"/>
      <w:numFmt w:val="bullet"/>
      <w:lvlText w:val=""/>
      <w:lvlJc w:val="left"/>
      <w:pPr>
        <w:tabs>
          <w:tab w:val="num" w:pos="2160"/>
        </w:tabs>
        <w:ind w:left="2160" w:hanging="360"/>
      </w:pPr>
      <w:rPr>
        <w:rFonts w:ascii="Wingdings" w:hAnsi="Wingdings" w:cs="Wingdings" w:hint="default"/>
      </w:rPr>
    </w:lvl>
    <w:lvl w:ilvl="3" w:tplc="06B6B5DC">
      <w:start w:val="1"/>
      <w:numFmt w:val="bullet"/>
      <w:lvlText w:val=""/>
      <w:lvlJc w:val="left"/>
      <w:pPr>
        <w:tabs>
          <w:tab w:val="num" w:pos="2880"/>
        </w:tabs>
        <w:ind w:left="2880" w:hanging="360"/>
      </w:pPr>
      <w:rPr>
        <w:rFonts w:ascii="Wingdings" w:hAnsi="Wingdings" w:cs="Wingdings" w:hint="default"/>
      </w:rPr>
    </w:lvl>
    <w:lvl w:ilvl="4" w:tplc="5C06E2A0">
      <w:start w:val="1"/>
      <w:numFmt w:val="bullet"/>
      <w:lvlText w:val=""/>
      <w:lvlJc w:val="left"/>
      <w:pPr>
        <w:tabs>
          <w:tab w:val="num" w:pos="3600"/>
        </w:tabs>
        <w:ind w:left="3600" w:hanging="360"/>
      </w:pPr>
      <w:rPr>
        <w:rFonts w:ascii="Wingdings" w:hAnsi="Wingdings" w:cs="Wingdings" w:hint="default"/>
      </w:rPr>
    </w:lvl>
    <w:lvl w:ilvl="5" w:tplc="D996F6FA">
      <w:start w:val="1"/>
      <w:numFmt w:val="bullet"/>
      <w:lvlText w:val=""/>
      <w:lvlJc w:val="left"/>
      <w:pPr>
        <w:tabs>
          <w:tab w:val="num" w:pos="4320"/>
        </w:tabs>
        <w:ind w:left="4320" w:hanging="360"/>
      </w:pPr>
      <w:rPr>
        <w:rFonts w:ascii="Wingdings" w:hAnsi="Wingdings" w:cs="Wingdings" w:hint="default"/>
      </w:rPr>
    </w:lvl>
    <w:lvl w:ilvl="6" w:tplc="64F6C4E0">
      <w:start w:val="1"/>
      <w:numFmt w:val="bullet"/>
      <w:lvlText w:val=""/>
      <w:lvlJc w:val="left"/>
      <w:pPr>
        <w:tabs>
          <w:tab w:val="num" w:pos="5040"/>
        </w:tabs>
        <w:ind w:left="5040" w:hanging="360"/>
      </w:pPr>
      <w:rPr>
        <w:rFonts w:ascii="Wingdings" w:hAnsi="Wingdings" w:cs="Wingdings" w:hint="default"/>
      </w:rPr>
    </w:lvl>
    <w:lvl w:ilvl="7" w:tplc="41BC4E98">
      <w:start w:val="1"/>
      <w:numFmt w:val="bullet"/>
      <w:lvlText w:val=""/>
      <w:lvlJc w:val="left"/>
      <w:pPr>
        <w:tabs>
          <w:tab w:val="num" w:pos="5760"/>
        </w:tabs>
        <w:ind w:left="5760" w:hanging="360"/>
      </w:pPr>
      <w:rPr>
        <w:rFonts w:ascii="Wingdings" w:hAnsi="Wingdings" w:cs="Wingdings" w:hint="default"/>
      </w:rPr>
    </w:lvl>
    <w:lvl w:ilvl="8" w:tplc="7FD80032">
      <w:start w:val="1"/>
      <w:numFmt w:val="bullet"/>
      <w:lvlText w:val=""/>
      <w:lvlJc w:val="left"/>
      <w:pPr>
        <w:tabs>
          <w:tab w:val="num" w:pos="6480"/>
        </w:tabs>
        <w:ind w:left="6480" w:hanging="360"/>
      </w:pPr>
      <w:rPr>
        <w:rFonts w:ascii="Wingdings" w:hAnsi="Wingdings" w:cs="Wingdings" w:hint="default"/>
      </w:rPr>
    </w:lvl>
  </w:abstractNum>
  <w:abstractNum w:abstractNumId="20">
    <w:nsid w:val="72D1123A"/>
    <w:multiLevelType w:val="hybridMultilevel"/>
    <w:tmpl w:val="C6E244B4"/>
    <w:lvl w:ilvl="0" w:tplc="1AF2179C">
      <w:start w:val="1"/>
      <w:numFmt w:val="bullet"/>
      <w:lvlText w:val=""/>
      <w:lvlJc w:val="left"/>
      <w:pPr>
        <w:tabs>
          <w:tab w:val="num" w:pos="720"/>
        </w:tabs>
        <w:ind w:left="720" w:hanging="360"/>
      </w:pPr>
      <w:rPr>
        <w:rFonts w:ascii="Wingdings" w:hAnsi="Wingdings" w:cs="Wingdings" w:hint="default"/>
      </w:rPr>
    </w:lvl>
    <w:lvl w:ilvl="1" w:tplc="19785D04">
      <w:start w:val="1"/>
      <w:numFmt w:val="bullet"/>
      <w:lvlText w:val=""/>
      <w:lvlJc w:val="left"/>
      <w:pPr>
        <w:tabs>
          <w:tab w:val="num" w:pos="1440"/>
        </w:tabs>
        <w:ind w:left="1440" w:hanging="360"/>
      </w:pPr>
      <w:rPr>
        <w:rFonts w:ascii="Wingdings" w:hAnsi="Wingdings" w:cs="Wingdings" w:hint="default"/>
      </w:rPr>
    </w:lvl>
    <w:lvl w:ilvl="2" w:tplc="EB4AF57A">
      <w:start w:val="1"/>
      <w:numFmt w:val="bullet"/>
      <w:lvlText w:val=""/>
      <w:lvlJc w:val="left"/>
      <w:pPr>
        <w:tabs>
          <w:tab w:val="num" w:pos="2160"/>
        </w:tabs>
        <w:ind w:left="2160" w:hanging="360"/>
      </w:pPr>
      <w:rPr>
        <w:rFonts w:ascii="Wingdings" w:hAnsi="Wingdings" w:cs="Wingdings" w:hint="default"/>
      </w:rPr>
    </w:lvl>
    <w:lvl w:ilvl="3" w:tplc="D91C9FB0">
      <w:start w:val="1"/>
      <w:numFmt w:val="bullet"/>
      <w:lvlText w:val=""/>
      <w:lvlJc w:val="left"/>
      <w:pPr>
        <w:tabs>
          <w:tab w:val="num" w:pos="2880"/>
        </w:tabs>
        <w:ind w:left="2880" w:hanging="360"/>
      </w:pPr>
      <w:rPr>
        <w:rFonts w:ascii="Wingdings" w:hAnsi="Wingdings" w:cs="Wingdings" w:hint="default"/>
      </w:rPr>
    </w:lvl>
    <w:lvl w:ilvl="4" w:tplc="A3AED278">
      <w:start w:val="1"/>
      <w:numFmt w:val="bullet"/>
      <w:lvlText w:val=""/>
      <w:lvlJc w:val="left"/>
      <w:pPr>
        <w:tabs>
          <w:tab w:val="num" w:pos="3600"/>
        </w:tabs>
        <w:ind w:left="3600" w:hanging="360"/>
      </w:pPr>
      <w:rPr>
        <w:rFonts w:ascii="Wingdings" w:hAnsi="Wingdings" w:cs="Wingdings" w:hint="default"/>
      </w:rPr>
    </w:lvl>
    <w:lvl w:ilvl="5" w:tplc="F6D88462">
      <w:start w:val="1"/>
      <w:numFmt w:val="bullet"/>
      <w:lvlText w:val=""/>
      <w:lvlJc w:val="left"/>
      <w:pPr>
        <w:tabs>
          <w:tab w:val="num" w:pos="4320"/>
        </w:tabs>
        <w:ind w:left="4320" w:hanging="360"/>
      </w:pPr>
      <w:rPr>
        <w:rFonts w:ascii="Wingdings" w:hAnsi="Wingdings" w:cs="Wingdings" w:hint="default"/>
      </w:rPr>
    </w:lvl>
    <w:lvl w:ilvl="6" w:tplc="372E5B80">
      <w:start w:val="1"/>
      <w:numFmt w:val="bullet"/>
      <w:lvlText w:val=""/>
      <w:lvlJc w:val="left"/>
      <w:pPr>
        <w:tabs>
          <w:tab w:val="num" w:pos="5040"/>
        </w:tabs>
        <w:ind w:left="5040" w:hanging="360"/>
      </w:pPr>
      <w:rPr>
        <w:rFonts w:ascii="Wingdings" w:hAnsi="Wingdings" w:cs="Wingdings" w:hint="default"/>
      </w:rPr>
    </w:lvl>
    <w:lvl w:ilvl="7" w:tplc="C12C4098">
      <w:start w:val="1"/>
      <w:numFmt w:val="bullet"/>
      <w:lvlText w:val=""/>
      <w:lvlJc w:val="left"/>
      <w:pPr>
        <w:tabs>
          <w:tab w:val="num" w:pos="5760"/>
        </w:tabs>
        <w:ind w:left="5760" w:hanging="360"/>
      </w:pPr>
      <w:rPr>
        <w:rFonts w:ascii="Wingdings" w:hAnsi="Wingdings" w:cs="Wingdings" w:hint="default"/>
      </w:rPr>
    </w:lvl>
    <w:lvl w:ilvl="8" w:tplc="661EED4A">
      <w:start w:val="1"/>
      <w:numFmt w:val="bullet"/>
      <w:lvlText w:val=""/>
      <w:lvlJc w:val="left"/>
      <w:pPr>
        <w:tabs>
          <w:tab w:val="num" w:pos="6480"/>
        </w:tabs>
        <w:ind w:left="6480" w:hanging="360"/>
      </w:pPr>
      <w:rPr>
        <w:rFonts w:ascii="Wingdings" w:hAnsi="Wingdings" w:cs="Wingdings" w:hint="default"/>
      </w:rPr>
    </w:lvl>
  </w:abstractNum>
  <w:abstractNum w:abstractNumId="21">
    <w:nsid w:val="7AC82270"/>
    <w:multiLevelType w:val="hybridMultilevel"/>
    <w:tmpl w:val="D44E6C28"/>
    <w:lvl w:ilvl="0" w:tplc="C72A0EB8">
      <w:start w:val="1"/>
      <w:numFmt w:val="bullet"/>
      <w:lvlText w:val=""/>
      <w:lvlJc w:val="left"/>
      <w:pPr>
        <w:tabs>
          <w:tab w:val="num" w:pos="720"/>
        </w:tabs>
        <w:ind w:left="720" w:hanging="360"/>
      </w:pPr>
      <w:rPr>
        <w:rFonts w:ascii="Wingdings" w:hAnsi="Wingdings" w:cs="Wingdings" w:hint="default"/>
      </w:rPr>
    </w:lvl>
    <w:lvl w:ilvl="1" w:tplc="182C8D78">
      <w:start w:val="1005"/>
      <w:numFmt w:val="bullet"/>
      <w:lvlText w:val="•"/>
      <w:lvlJc w:val="left"/>
      <w:pPr>
        <w:tabs>
          <w:tab w:val="num" w:pos="1440"/>
        </w:tabs>
        <w:ind w:left="1440" w:hanging="360"/>
      </w:pPr>
      <w:rPr>
        <w:rFonts w:ascii="Times New Roman" w:hAnsi="Times New Roman" w:cs="Times New Roman" w:hint="default"/>
      </w:rPr>
    </w:lvl>
    <w:lvl w:ilvl="2" w:tplc="B9CAF4FC">
      <w:start w:val="1"/>
      <w:numFmt w:val="bullet"/>
      <w:lvlText w:val=""/>
      <w:lvlJc w:val="left"/>
      <w:pPr>
        <w:tabs>
          <w:tab w:val="num" w:pos="2160"/>
        </w:tabs>
        <w:ind w:left="2160" w:hanging="360"/>
      </w:pPr>
      <w:rPr>
        <w:rFonts w:ascii="Wingdings" w:hAnsi="Wingdings" w:cs="Wingdings" w:hint="default"/>
      </w:rPr>
    </w:lvl>
    <w:lvl w:ilvl="3" w:tplc="04DA8656">
      <w:start w:val="1"/>
      <w:numFmt w:val="bullet"/>
      <w:lvlText w:val=""/>
      <w:lvlJc w:val="left"/>
      <w:pPr>
        <w:tabs>
          <w:tab w:val="num" w:pos="2880"/>
        </w:tabs>
        <w:ind w:left="2880" w:hanging="360"/>
      </w:pPr>
      <w:rPr>
        <w:rFonts w:ascii="Wingdings" w:hAnsi="Wingdings" w:cs="Wingdings" w:hint="default"/>
      </w:rPr>
    </w:lvl>
    <w:lvl w:ilvl="4" w:tplc="1CA4FEFE">
      <w:start w:val="1"/>
      <w:numFmt w:val="bullet"/>
      <w:lvlText w:val=""/>
      <w:lvlJc w:val="left"/>
      <w:pPr>
        <w:tabs>
          <w:tab w:val="num" w:pos="3600"/>
        </w:tabs>
        <w:ind w:left="3600" w:hanging="360"/>
      </w:pPr>
      <w:rPr>
        <w:rFonts w:ascii="Wingdings" w:hAnsi="Wingdings" w:cs="Wingdings" w:hint="default"/>
      </w:rPr>
    </w:lvl>
    <w:lvl w:ilvl="5" w:tplc="E8882E64">
      <w:start w:val="1"/>
      <w:numFmt w:val="bullet"/>
      <w:lvlText w:val=""/>
      <w:lvlJc w:val="left"/>
      <w:pPr>
        <w:tabs>
          <w:tab w:val="num" w:pos="4320"/>
        </w:tabs>
        <w:ind w:left="4320" w:hanging="360"/>
      </w:pPr>
      <w:rPr>
        <w:rFonts w:ascii="Wingdings" w:hAnsi="Wingdings" w:cs="Wingdings" w:hint="default"/>
      </w:rPr>
    </w:lvl>
    <w:lvl w:ilvl="6" w:tplc="34FADEE4">
      <w:start w:val="1"/>
      <w:numFmt w:val="bullet"/>
      <w:lvlText w:val=""/>
      <w:lvlJc w:val="left"/>
      <w:pPr>
        <w:tabs>
          <w:tab w:val="num" w:pos="5040"/>
        </w:tabs>
        <w:ind w:left="5040" w:hanging="360"/>
      </w:pPr>
      <w:rPr>
        <w:rFonts w:ascii="Wingdings" w:hAnsi="Wingdings" w:cs="Wingdings" w:hint="default"/>
      </w:rPr>
    </w:lvl>
    <w:lvl w:ilvl="7" w:tplc="7E5ACE92">
      <w:start w:val="1"/>
      <w:numFmt w:val="bullet"/>
      <w:lvlText w:val=""/>
      <w:lvlJc w:val="left"/>
      <w:pPr>
        <w:tabs>
          <w:tab w:val="num" w:pos="5760"/>
        </w:tabs>
        <w:ind w:left="5760" w:hanging="360"/>
      </w:pPr>
      <w:rPr>
        <w:rFonts w:ascii="Wingdings" w:hAnsi="Wingdings" w:cs="Wingdings" w:hint="default"/>
      </w:rPr>
    </w:lvl>
    <w:lvl w:ilvl="8" w:tplc="2FD2F40A">
      <w:start w:val="1"/>
      <w:numFmt w:val="bullet"/>
      <w:lvlText w:val=""/>
      <w:lvlJc w:val="left"/>
      <w:pPr>
        <w:tabs>
          <w:tab w:val="num" w:pos="6480"/>
        </w:tabs>
        <w:ind w:left="6480" w:hanging="360"/>
      </w:pPr>
      <w:rPr>
        <w:rFonts w:ascii="Wingdings" w:hAnsi="Wingdings" w:cs="Wingdings" w:hint="default"/>
      </w:rPr>
    </w:lvl>
  </w:abstractNum>
  <w:num w:numId="1">
    <w:abstractNumId w:val="2"/>
  </w:num>
  <w:num w:numId="2">
    <w:abstractNumId w:val="5"/>
  </w:num>
  <w:num w:numId="3">
    <w:abstractNumId w:val="1"/>
  </w:num>
  <w:num w:numId="4">
    <w:abstractNumId w:val="6"/>
  </w:num>
  <w:num w:numId="5">
    <w:abstractNumId w:val="0"/>
  </w:num>
  <w:num w:numId="6">
    <w:abstractNumId w:val="4"/>
  </w:num>
  <w:num w:numId="7">
    <w:abstractNumId w:val="16"/>
  </w:num>
  <w:num w:numId="8">
    <w:abstractNumId w:val="10"/>
  </w:num>
  <w:num w:numId="9">
    <w:abstractNumId w:val="17"/>
  </w:num>
  <w:num w:numId="10">
    <w:abstractNumId w:val="3"/>
  </w:num>
  <w:num w:numId="11">
    <w:abstractNumId w:val="13"/>
  </w:num>
  <w:num w:numId="12">
    <w:abstractNumId w:val="12"/>
  </w:num>
  <w:num w:numId="13">
    <w:abstractNumId w:val="15"/>
  </w:num>
  <w:num w:numId="14">
    <w:abstractNumId w:val="8"/>
  </w:num>
  <w:num w:numId="15">
    <w:abstractNumId w:val="21"/>
  </w:num>
  <w:num w:numId="16">
    <w:abstractNumId w:val="18"/>
  </w:num>
  <w:num w:numId="17">
    <w:abstractNumId w:val="11"/>
  </w:num>
  <w:num w:numId="18">
    <w:abstractNumId w:val="19"/>
  </w:num>
  <w:num w:numId="19">
    <w:abstractNumId w:val="7"/>
  </w:num>
  <w:num w:numId="20">
    <w:abstractNumId w:val="9"/>
  </w:num>
  <w:num w:numId="21">
    <w:abstractNumId w:val="20"/>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1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12B65"/>
    <w:rsid w:val="00042977"/>
    <w:rsid w:val="0009670F"/>
    <w:rsid w:val="00096865"/>
    <w:rsid w:val="000A3529"/>
    <w:rsid w:val="000A68F5"/>
    <w:rsid w:val="000E4ADB"/>
    <w:rsid w:val="00106EDE"/>
    <w:rsid w:val="00121B9B"/>
    <w:rsid w:val="0012429D"/>
    <w:rsid w:val="0017705D"/>
    <w:rsid w:val="001A3B95"/>
    <w:rsid w:val="001A4A84"/>
    <w:rsid w:val="001B0E45"/>
    <w:rsid w:val="001B4319"/>
    <w:rsid w:val="001B4B70"/>
    <w:rsid w:val="001C5B4A"/>
    <w:rsid w:val="001E4CDF"/>
    <w:rsid w:val="001E6A5A"/>
    <w:rsid w:val="001F36B2"/>
    <w:rsid w:val="002052C4"/>
    <w:rsid w:val="00240820"/>
    <w:rsid w:val="00240862"/>
    <w:rsid w:val="00246708"/>
    <w:rsid w:val="00255FB1"/>
    <w:rsid w:val="00266020"/>
    <w:rsid w:val="002839F7"/>
    <w:rsid w:val="002843E3"/>
    <w:rsid w:val="002A146A"/>
    <w:rsid w:val="002A4E92"/>
    <w:rsid w:val="002D6C1E"/>
    <w:rsid w:val="002D742C"/>
    <w:rsid w:val="002E2877"/>
    <w:rsid w:val="003153D1"/>
    <w:rsid w:val="003338DF"/>
    <w:rsid w:val="003402B7"/>
    <w:rsid w:val="00367D1B"/>
    <w:rsid w:val="003729CA"/>
    <w:rsid w:val="00385B3F"/>
    <w:rsid w:val="00391A4D"/>
    <w:rsid w:val="003A711E"/>
    <w:rsid w:val="003A718D"/>
    <w:rsid w:val="003F19A4"/>
    <w:rsid w:val="003F6F2B"/>
    <w:rsid w:val="00412F4D"/>
    <w:rsid w:val="00415344"/>
    <w:rsid w:val="00426A82"/>
    <w:rsid w:val="004301E8"/>
    <w:rsid w:val="004304F5"/>
    <w:rsid w:val="00434FDC"/>
    <w:rsid w:val="004962D0"/>
    <w:rsid w:val="00496FD0"/>
    <w:rsid w:val="004D709F"/>
    <w:rsid w:val="004E5DA9"/>
    <w:rsid w:val="00515945"/>
    <w:rsid w:val="00545C37"/>
    <w:rsid w:val="005504CA"/>
    <w:rsid w:val="0055486F"/>
    <w:rsid w:val="005732E7"/>
    <w:rsid w:val="005769B4"/>
    <w:rsid w:val="005860C6"/>
    <w:rsid w:val="00594CAB"/>
    <w:rsid w:val="005D4AD3"/>
    <w:rsid w:val="005E2ED8"/>
    <w:rsid w:val="005E5D99"/>
    <w:rsid w:val="005F3CCA"/>
    <w:rsid w:val="005F3CF0"/>
    <w:rsid w:val="00610421"/>
    <w:rsid w:val="00612B65"/>
    <w:rsid w:val="00621B18"/>
    <w:rsid w:val="00622E67"/>
    <w:rsid w:val="0063069F"/>
    <w:rsid w:val="00651020"/>
    <w:rsid w:val="00661FDF"/>
    <w:rsid w:val="006738F8"/>
    <w:rsid w:val="006807CA"/>
    <w:rsid w:val="00681842"/>
    <w:rsid w:val="006A05BA"/>
    <w:rsid w:val="006C61E0"/>
    <w:rsid w:val="006D704B"/>
    <w:rsid w:val="006E3B73"/>
    <w:rsid w:val="0071163A"/>
    <w:rsid w:val="00715E8E"/>
    <w:rsid w:val="00716092"/>
    <w:rsid w:val="007177CD"/>
    <w:rsid w:val="007204CB"/>
    <w:rsid w:val="00730C05"/>
    <w:rsid w:val="00767C6B"/>
    <w:rsid w:val="00776C1C"/>
    <w:rsid w:val="007B522B"/>
    <w:rsid w:val="007D1A52"/>
    <w:rsid w:val="007D5884"/>
    <w:rsid w:val="007F35C1"/>
    <w:rsid w:val="008268CD"/>
    <w:rsid w:val="00844E85"/>
    <w:rsid w:val="00864239"/>
    <w:rsid w:val="008653DE"/>
    <w:rsid w:val="00866E14"/>
    <w:rsid w:val="00890ED5"/>
    <w:rsid w:val="0089295D"/>
    <w:rsid w:val="00897703"/>
    <w:rsid w:val="008E3710"/>
    <w:rsid w:val="008F6E75"/>
    <w:rsid w:val="00902B59"/>
    <w:rsid w:val="009141BF"/>
    <w:rsid w:val="009278FE"/>
    <w:rsid w:val="00946690"/>
    <w:rsid w:val="0097041B"/>
    <w:rsid w:val="00977D54"/>
    <w:rsid w:val="009833A8"/>
    <w:rsid w:val="00985510"/>
    <w:rsid w:val="009C49BA"/>
    <w:rsid w:val="009D2B57"/>
    <w:rsid w:val="009E0A53"/>
    <w:rsid w:val="00A10E25"/>
    <w:rsid w:val="00A11002"/>
    <w:rsid w:val="00A3657D"/>
    <w:rsid w:val="00A41E1B"/>
    <w:rsid w:val="00A43440"/>
    <w:rsid w:val="00A727E7"/>
    <w:rsid w:val="00A87BD4"/>
    <w:rsid w:val="00A950EF"/>
    <w:rsid w:val="00AB332D"/>
    <w:rsid w:val="00AC77C4"/>
    <w:rsid w:val="00B3764B"/>
    <w:rsid w:val="00B55E2F"/>
    <w:rsid w:val="00B72845"/>
    <w:rsid w:val="00B90266"/>
    <w:rsid w:val="00C11F6C"/>
    <w:rsid w:val="00C16FD2"/>
    <w:rsid w:val="00C45D95"/>
    <w:rsid w:val="00C52222"/>
    <w:rsid w:val="00C656F9"/>
    <w:rsid w:val="00C84CB3"/>
    <w:rsid w:val="00C91192"/>
    <w:rsid w:val="00CC1CB1"/>
    <w:rsid w:val="00CC56A2"/>
    <w:rsid w:val="00CF3F82"/>
    <w:rsid w:val="00D022B2"/>
    <w:rsid w:val="00D04732"/>
    <w:rsid w:val="00D06A29"/>
    <w:rsid w:val="00D1334F"/>
    <w:rsid w:val="00D14479"/>
    <w:rsid w:val="00D17503"/>
    <w:rsid w:val="00D23FDA"/>
    <w:rsid w:val="00D84F73"/>
    <w:rsid w:val="00D95DE5"/>
    <w:rsid w:val="00DB49C1"/>
    <w:rsid w:val="00DC542E"/>
    <w:rsid w:val="00DE457A"/>
    <w:rsid w:val="00DE78E4"/>
    <w:rsid w:val="00E023DE"/>
    <w:rsid w:val="00E10C78"/>
    <w:rsid w:val="00E152C6"/>
    <w:rsid w:val="00E63A73"/>
    <w:rsid w:val="00E74DEA"/>
    <w:rsid w:val="00E83A34"/>
    <w:rsid w:val="00EA2538"/>
    <w:rsid w:val="00EB006F"/>
    <w:rsid w:val="00EC26A5"/>
    <w:rsid w:val="00EC3065"/>
    <w:rsid w:val="00EC4FE4"/>
    <w:rsid w:val="00EF0521"/>
    <w:rsid w:val="00EF054A"/>
    <w:rsid w:val="00F06562"/>
    <w:rsid w:val="00F33BA6"/>
    <w:rsid w:val="00F34D28"/>
    <w:rsid w:val="00F45ADF"/>
    <w:rsid w:val="00F67BB0"/>
    <w:rsid w:val="00F72BA8"/>
    <w:rsid w:val="00F92E18"/>
    <w:rsid w:val="00FD7C10"/>
    <w:rsid w:val="00FF3FFB"/>
    <w:rsid w:val="00FF711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F3CF0"/>
    <w:pPr>
      <w:spacing w:line="276" w:lineRule="auto"/>
    </w:pPr>
    <w:rPr>
      <w:rFonts w:cs="Calibri"/>
    </w:rPr>
  </w:style>
  <w:style w:type="paragraph" w:styleId="Heading1">
    <w:name w:val="heading 1"/>
    <w:basedOn w:val="Normal"/>
    <w:next w:val="Normal"/>
    <w:link w:val="Heading1Char"/>
    <w:uiPriority w:val="99"/>
    <w:qFormat/>
    <w:rsid w:val="00844E85"/>
    <w:pPr>
      <w:keepNext/>
      <w:keepLines/>
      <w:spacing w:before="480"/>
      <w:outlineLvl w:val="0"/>
    </w:pPr>
    <w:rPr>
      <w:rFonts w:ascii="Cambria" w:eastAsia="Times New Roman" w:hAnsi="Cambria" w:cs="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44E85"/>
    <w:rPr>
      <w:rFonts w:ascii="Cambria" w:hAnsi="Cambria" w:cs="Cambria"/>
      <w:b/>
      <w:bCs/>
      <w:color w:val="365F91"/>
      <w:sz w:val="28"/>
      <w:szCs w:val="28"/>
    </w:rPr>
  </w:style>
  <w:style w:type="paragraph" w:customStyle="1" w:styleId="Default">
    <w:name w:val="Default"/>
    <w:uiPriority w:val="99"/>
    <w:rsid w:val="00255FB1"/>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rsid w:val="00255FB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55FB1"/>
    <w:rPr>
      <w:rFonts w:ascii="Tahoma" w:hAnsi="Tahoma" w:cs="Tahoma"/>
      <w:sz w:val="16"/>
      <w:szCs w:val="16"/>
    </w:rPr>
  </w:style>
  <w:style w:type="paragraph" w:styleId="Header">
    <w:name w:val="header"/>
    <w:basedOn w:val="Normal"/>
    <w:link w:val="HeaderChar"/>
    <w:uiPriority w:val="99"/>
    <w:semiHidden/>
    <w:rsid w:val="00EF054A"/>
    <w:pPr>
      <w:tabs>
        <w:tab w:val="center" w:pos="4680"/>
        <w:tab w:val="right" w:pos="9360"/>
      </w:tabs>
      <w:spacing w:line="240" w:lineRule="auto"/>
    </w:pPr>
  </w:style>
  <w:style w:type="character" w:customStyle="1" w:styleId="HeaderChar">
    <w:name w:val="Header Char"/>
    <w:basedOn w:val="DefaultParagraphFont"/>
    <w:link w:val="Header"/>
    <w:uiPriority w:val="99"/>
    <w:semiHidden/>
    <w:locked/>
    <w:rsid w:val="00EF054A"/>
  </w:style>
  <w:style w:type="paragraph" w:styleId="Footer">
    <w:name w:val="footer"/>
    <w:basedOn w:val="Normal"/>
    <w:link w:val="FooterChar"/>
    <w:uiPriority w:val="99"/>
    <w:rsid w:val="00EF054A"/>
    <w:pPr>
      <w:tabs>
        <w:tab w:val="center" w:pos="4680"/>
        <w:tab w:val="right" w:pos="9360"/>
      </w:tabs>
      <w:spacing w:line="240" w:lineRule="auto"/>
    </w:pPr>
  </w:style>
  <w:style w:type="character" w:customStyle="1" w:styleId="FooterChar">
    <w:name w:val="Footer Char"/>
    <w:basedOn w:val="DefaultParagraphFont"/>
    <w:link w:val="Footer"/>
    <w:uiPriority w:val="99"/>
    <w:locked/>
    <w:rsid w:val="00EF054A"/>
  </w:style>
  <w:style w:type="paragraph" w:styleId="TOCHeading">
    <w:name w:val="TOC Heading"/>
    <w:basedOn w:val="Heading1"/>
    <w:next w:val="Normal"/>
    <w:uiPriority w:val="99"/>
    <w:qFormat/>
    <w:rsid w:val="00844E85"/>
    <w:pPr>
      <w:outlineLvl w:val="9"/>
    </w:pPr>
  </w:style>
  <w:style w:type="paragraph" w:styleId="TOC2">
    <w:name w:val="toc 2"/>
    <w:basedOn w:val="Normal"/>
    <w:next w:val="Normal"/>
    <w:autoRedefine/>
    <w:uiPriority w:val="99"/>
    <w:semiHidden/>
    <w:rsid w:val="00844E85"/>
    <w:pPr>
      <w:spacing w:after="100"/>
      <w:ind w:left="220"/>
    </w:pPr>
    <w:rPr>
      <w:rFonts w:eastAsia="Times New Roman"/>
    </w:rPr>
  </w:style>
  <w:style w:type="paragraph" w:styleId="TOC1">
    <w:name w:val="toc 1"/>
    <w:basedOn w:val="Normal"/>
    <w:next w:val="Normal"/>
    <w:autoRedefine/>
    <w:uiPriority w:val="99"/>
    <w:semiHidden/>
    <w:rsid w:val="00844E85"/>
    <w:pPr>
      <w:spacing w:after="100"/>
    </w:pPr>
    <w:rPr>
      <w:rFonts w:eastAsia="Times New Roman"/>
    </w:rPr>
  </w:style>
  <w:style w:type="paragraph" w:styleId="TOC3">
    <w:name w:val="toc 3"/>
    <w:basedOn w:val="Normal"/>
    <w:next w:val="Normal"/>
    <w:autoRedefine/>
    <w:uiPriority w:val="99"/>
    <w:semiHidden/>
    <w:rsid w:val="00844E85"/>
    <w:pPr>
      <w:spacing w:after="100"/>
      <w:ind w:left="440"/>
    </w:pPr>
    <w:rPr>
      <w:rFonts w:eastAsia="Times New Roman"/>
    </w:rPr>
  </w:style>
  <w:style w:type="table" w:styleId="TableGrid">
    <w:name w:val="Table Grid"/>
    <w:basedOn w:val="TableNormal"/>
    <w:uiPriority w:val="99"/>
    <w:rsid w:val="00FF3FFB"/>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Grid-Accent2">
    <w:name w:val="Light Grid Accent 2"/>
    <w:basedOn w:val="TableNormal"/>
    <w:uiPriority w:val="99"/>
    <w:rsid w:val="007177CD"/>
    <w:rPr>
      <w:rFonts w:cs="Calibri"/>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Cambr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s>
</file>

<file path=word/webSettings.xml><?xml version="1.0" encoding="utf-8"?>
<w:webSettings xmlns:r="http://schemas.openxmlformats.org/officeDocument/2006/relationships" xmlns:w="http://schemas.openxmlformats.org/wordprocessingml/2006/main">
  <w:divs>
    <w:div w:id="226495535">
      <w:marLeft w:val="0"/>
      <w:marRight w:val="0"/>
      <w:marTop w:val="0"/>
      <w:marBottom w:val="0"/>
      <w:divBdr>
        <w:top w:val="none" w:sz="0" w:space="0" w:color="auto"/>
        <w:left w:val="none" w:sz="0" w:space="0" w:color="auto"/>
        <w:bottom w:val="none" w:sz="0" w:space="0" w:color="auto"/>
        <w:right w:val="none" w:sz="0" w:space="0" w:color="auto"/>
      </w:divBdr>
      <w:divsChild>
        <w:div w:id="226495534">
          <w:marLeft w:val="1166"/>
          <w:marRight w:val="0"/>
          <w:marTop w:val="86"/>
          <w:marBottom w:val="0"/>
          <w:divBdr>
            <w:top w:val="none" w:sz="0" w:space="0" w:color="auto"/>
            <w:left w:val="none" w:sz="0" w:space="0" w:color="auto"/>
            <w:bottom w:val="none" w:sz="0" w:space="0" w:color="auto"/>
            <w:right w:val="none" w:sz="0" w:space="0" w:color="auto"/>
          </w:divBdr>
        </w:div>
        <w:div w:id="226495538">
          <w:marLeft w:val="1166"/>
          <w:marRight w:val="0"/>
          <w:marTop w:val="86"/>
          <w:marBottom w:val="0"/>
          <w:divBdr>
            <w:top w:val="none" w:sz="0" w:space="0" w:color="auto"/>
            <w:left w:val="none" w:sz="0" w:space="0" w:color="auto"/>
            <w:bottom w:val="none" w:sz="0" w:space="0" w:color="auto"/>
            <w:right w:val="none" w:sz="0" w:space="0" w:color="auto"/>
          </w:divBdr>
        </w:div>
        <w:div w:id="226495548">
          <w:marLeft w:val="547"/>
          <w:marRight w:val="0"/>
          <w:marTop w:val="96"/>
          <w:marBottom w:val="0"/>
          <w:divBdr>
            <w:top w:val="none" w:sz="0" w:space="0" w:color="auto"/>
            <w:left w:val="none" w:sz="0" w:space="0" w:color="auto"/>
            <w:bottom w:val="none" w:sz="0" w:space="0" w:color="auto"/>
            <w:right w:val="none" w:sz="0" w:space="0" w:color="auto"/>
          </w:divBdr>
        </w:div>
        <w:div w:id="226495555">
          <w:marLeft w:val="1166"/>
          <w:marRight w:val="0"/>
          <w:marTop w:val="86"/>
          <w:marBottom w:val="0"/>
          <w:divBdr>
            <w:top w:val="none" w:sz="0" w:space="0" w:color="auto"/>
            <w:left w:val="none" w:sz="0" w:space="0" w:color="auto"/>
            <w:bottom w:val="none" w:sz="0" w:space="0" w:color="auto"/>
            <w:right w:val="none" w:sz="0" w:space="0" w:color="auto"/>
          </w:divBdr>
        </w:div>
        <w:div w:id="226495559">
          <w:marLeft w:val="1166"/>
          <w:marRight w:val="0"/>
          <w:marTop w:val="86"/>
          <w:marBottom w:val="0"/>
          <w:divBdr>
            <w:top w:val="none" w:sz="0" w:space="0" w:color="auto"/>
            <w:left w:val="none" w:sz="0" w:space="0" w:color="auto"/>
            <w:bottom w:val="none" w:sz="0" w:space="0" w:color="auto"/>
            <w:right w:val="none" w:sz="0" w:space="0" w:color="auto"/>
          </w:divBdr>
        </w:div>
        <w:div w:id="226495576">
          <w:marLeft w:val="1166"/>
          <w:marRight w:val="0"/>
          <w:marTop w:val="86"/>
          <w:marBottom w:val="0"/>
          <w:divBdr>
            <w:top w:val="none" w:sz="0" w:space="0" w:color="auto"/>
            <w:left w:val="none" w:sz="0" w:space="0" w:color="auto"/>
            <w:bottom w:val="none" w:sz="0" w:space="0" w:color="auto"/>
            <w:right w:val="none" w:sz="0" w:space="0" w:color="auto"/>
          </w:divBdr>
        </w:div>
        <w:div w:id="226495581">
          <w:marLeft w:val="547"/>
          <w:marRight w:val="0"/>
          <w:marTop w:val="96"/>
          <w:marBottom w:val="0"/>
          <w:divBdr>
            <w:top w:val="none" w:sz="0" w:space="0" w:color="auto"/>
            <w:left w:val="none" w:sz="0" w:space="0" w:color="auto"/>
            <w:bottom w:val="none" w:sz="0" w:space="0" w:color="auto"/>
            <w:right w:val="none" w:sz="0" w:space="0" w:color="auto"/>
          </w:divBdr>
        </w:div>
        <w:div w:id="226495596">
          <w:marLeft w:val="547"/>
          <w:marRight w:val="0"/>
          <w:marTop w:val="96"/>
          <w:marBottom w:val="0"/>
          <w:divBdr>
            <w:top w:val="none" w:sz="0" w:space="0" w:color="auto"/>
            <w:left w:val="none" w:sz="0" w:space="0" w:color="auto"/>
            <w:bottom w:val="none" w:sz="0" w:space="0" w:color="auto"/>
            <w:right w:val="none" w:sz="0" w:space="0" w:color="auto"/>
          </w:divBdr>
        </w:div>
        <w:div w:id="226495599">
          <w:marLeft w:val="1166"/>
          <w:marRight w:val="0"/>
          <w:marTop w:val="86"/>
          <w:marBottom w:val="0"/>
          <w:divBdr>
            <w:top w:val="none" w:sz="0" w:space="0" w:color="auto"/>
            <w:left w:val="none" w:sz="0" w:space="0" w:color="auto"/>
            <w:bottom w:val="none" w:sz="0" w:space="0" w:color="auto"/>
            <w:right w:val="none" w:sz="0" w:space="0" w:color="auto"/>
          </w:divBdr>
        </w:div>
        <w:div w:id="226495600">
          <w:marLeft w:val="547"/>
          <w:marRight w:val="0"/>
          <w:marTop w:val="96"/>
          <w:marBottom w:val="0"/>
          <w:divBdr>
            <w:top w:val="none" w:sz="0" w:space="0" w:color="auto"/>
            <w:left w:val="none" w:sz="0" w:space="0" w:color="auto"/>
            <w:bottom w:val="none" w:sz="0" w:space="0" w:color="auto"/>
            <w:right w:val="none" w:sz="0" w:space="0" w:color="auto"/>
          </w:divBdr>
        </w:div>
        <w:div w:id="226495601">
          <w:marLeft w:val="1166"/>
          <w:marRight w:val="0"/>
          <w:marTop w:val="86"/>
          <w:marBottom w:val="0"/>
          <w:divBdr>
            <w:top w:val="none" w:sz="0" w:space="0" w:color="auto"/>
            <w:left w:val="none" w:sz="0" w:space="0" w:color="auto"/>
            <w:bottom w:val="none" w:sz="0" w:space="0" w:color="auto"/>
            <w:right w:val="none" w:sz="0" w:space="0" w:color="auto"/>
          </w:divBdr>
        </w:div>
        <w:div w:id="226495602">
          <w:marLeft w:val="547"/>
          <w:marRight w:val="0"/>
          <w:marTop w:val="96"/>
          <w:marBottom w:val="0"/>
          <w:divBdr>
            <w:top w:val="none" w:sz="0" w:space="0" w:color="auto"/>
            <w:left w:val="none" w:sz="0" w:space="0" w:color="auto"/>
            <w:bottom w:val="none" w:sz="0" w:space="0" w:color="auto"/>
            <w:right w:val="none" w:sz="0" w:space="0" w:color="auto"/>
          </w:divBdr>
        </w:div>
      </w:divsChild>
    </w:div>
    <w:div w:id="226495540">
      <w:marLeft w:val="0"/>
      <w:marRight w:val="0"/>
      <w:marTop w:val="0"/>
      <w:marBottom w:val="0"/>
      <w:divBdr>
        <w:top w:val="none" w:sz="0" w:space="0" w:color="auto"/>
        <w:left w:val="none" w:sz="0" w:space="0" w:color="auto"/>
        <w:bottom w:val="none" w:sz="0" w:space="0" w:color="auto"/>
        <w:right w:val="none" w:sz="0" w:space="0" w:color="auto"/>
      </w:divBdr>
      <w:divsChild>
        <w:div w:id="226495597">
          <w:marLeft w:val="547"/>
          <w:marRight w:val="0"/>
          <w:marTop w:val="134"/>
          <w:marBottom w:val="0"/>
          <w:divBdr>
            <w:top w:val="none" w:sz="0" w:space="0" w:color="auto"/>
            <w:left w:val="none" w:sz="0" w:space="0" w:color="auto"/>
            <w:bottom w:val="none" w:sz="0" w:space="0" w:color="auto"/>
            <w:right w:val="none" w:sz="0" w:space="0" w:color="auto"/>
          </w:divBdr>
        </w:div>
      </w:divsChild>
    </w:div>
    <w:div w:id="226495549">
      <w:marLeft w:val="0"/>
      <w:marRight w:val="0"/>
      <w:marTop w:val="0"/>
      <w:marBottom w:val="0"/>
      <w:divBdr>
        <w:top w:val="none" w:sz="0" w:space="0" w:color="auto"/>
        <w:left w:val="none" w:sz="0" w:space="0" w:color="auto"/>
        <w:bottom w:val="none" w:sz="0" w:space="0" w:color="auto"/>
        <w:right w:val="none" w:sz="0" w:space="0" w:color="auto"/>
      </w:divBdr>
      <w:divsChild>
        <w:div w:id="226495544">
          <w:marLeft w:val="547"/>
          <w:marRight w:val="0"/>
          <w:marTop w:val="134"/>
          <w:marBottom w:val="0"/>
          <w:divBdr>
            <w:top w:val="none" w:sz="0" w:space="0" w:color="auto"/>
            <w:left w:val="none" w:sz="0" w:space="0" w:color="auto"/>
            <w:bottom w:val="none" w:sz="0" w:space="0" w:color="auto"/>
            <w:right w:val="none" w:sz="0" w:space="0" w:color="auto"/>
          </w:divBdr>
        </w:div>
      </w:divsChild>
    </w:div>
    <w:div w:id="226495566">
      <w:marLeft w:val="0"/>
      <w:marRight w:val="0"/>
      <w:marTop w:val="0"/>
      <w:marBottom w:val="0"/>
      <w:divBdr>
        <w:top w:val="none" w:sz="0" w:space="0" w:color="auto"/>
        <w:left w:val="none" w:sz="0" w:space="0" w:color="auto"/>
        <w:bottom w:val="none" w:sz="0" w:space="0" w:color="auto"/>
        <w:right w:val="none" w:sz="0" w:space="0" w:color="auto"/>
      </w:divBdr>
      <w:divsChild>
        <w:div w:id="226495537">
          <w:marLeft w:val="547"/>
          <w:marRight w:val="0"/>
          <w:marTop w:val="134"/>
          <w:marBottom w:val="0"/>
          <w:divBdr>
            <w:top w:val="none" w:sz="0" w:space="0" w:color="auto"/>
            <w:left w:val="none" w:sz="0" w:space="0" w:color="auto"/>
            <w:bottom w:val="none" w:sz="0" w:space="0" w:color="auto"/>
            <w:right w:val="none" w:sz="0" w:space="0" w:color="auto"/>
          </w:divBdr>
        </w:div>
      </w:divsChild>
    </w:div>
    <w:div w:id="226495582">
      <w:marLeft w:val="0"/>
      <w:marRight w:val="0"/>
      <w:marTop w:val="0"/>
      <w:marBottom w:val="0"/>
      <w:divBdr>
        <w:top w:val="none" w:sz="0" w:space="0" w:color="auto"/>
        <w:left w:val="none" w:sz="0" w:space="0" w:color="auto"/>
        <w:bottom w:val="none" w:sz="0" w:space="0" w:color="auto"/>
        <w:right w:val="none" w:sz="0" w:space="0" w:color="auto"/>
      </w:divBdr>
      <w:divsChild>
        <w:div w:id="226495546">
          <w:marLeft w:val="547"/>
          <w:marRight w:val="0"/>
          <w:marTop w:val="192"/>
          <w:marBottom w:val="0"/>
          <w:divBdr>
            <w:top w:val="none" w:sz="0" w:space="0" w:color="auto"/>
            <w:left w:val="none" w:sz="0" w:space="0" w:color="auto"/>
            <w:bottom w:val="none" w:sz="0" w:space="0" w:color="auto"/>
            <w:right w:val="none" w:sz="0" w:space="0" w:color="auto"/>
          </w:divBdr>
        </w:div>
        <w:div w:id="226495547">
          <w:marLeft w:val="547"/>
          <w:marRight w:val="0"/>
          <w:marTop w:val="192"/>
          <w:marBottom w:val="0"/>
          <w:divBdr>
            <w:top w:val="none" w:sz="0" w:space="0" w:color="auto"/>
            <w:left w:val="none" w:sz="0" w:space="0" w:color="auto"/>
            <w:bottom w:val="none" w:sz="0" w:space="0" w:color="auto"/>
            <w:right w:val="none" w:sz="0" w:space="0" w:color="auto"/>
          </w:divBdr>
        </w:div>
        <w:div w:id="226495553">
          <w:marLeft w:val="547"/>
          <w:marRight w:val="0"/>
          <w:marTop w:val="192"/>
          <w:marBottom w:val="0"/>
          <w:divBdr>
            <w:top w:val="none" w:sz="0" w:space="0" w:color="auto"/>
            <w:left w:val="none" w:sz="0" w:space="0" w:color="auto"/>
            <w:bottom w:val="none" w:sz="0" w:space="0" w:color="auto"/>
            <w:right w:val="none" w:sz="0" w:space="0" w:color="auto"/>
          </w:divBdr>
        </w:div>
        <w:div w:id="226495558">
          <w:marLeft w:val="547"/>
          <w:marRight w:val="0"/>
          <w:marTop w:val="192"/>
          <w:marBottom w:val="0"/>
          <w:divBdr>
            <w:top w:val="none" w:sz="0" w:space="0" w:color="auto"/>
            <w:left w:val="none" w:sz="0" w:space="0" w:color="auto"/>
            <w:bottom w:val="none" w:sz="0" w:space="0" w:color="auto"/>
            <w:right w:val="none" w:sz="0" w:space="0" w:color="auto"/>
          </w:divBdr>
        </w:div>
        <w:div w:id="226495574">
          <w:marLeft w:val="547"/>
          <w:marRight w:val="0"/>
          <w:marTop w:val="192"/>
          <w:marBottom w:val="0"/>
          <w:divBdr>
            <w:top w:val="none" w:sz="0" w:space="0" w:color="auto"/>
            <w:left w:val="none" w:sz="0" w:space="0" w:color="auto"/>
            <w:bottom w:val="none" w:sz="0" w:space="0" w:color="auto"/>
            <w:right w:val="none" w:sz="0" w:space="0" w:color="auto"/>
          </w:divBdr>
        </w:div>
        <w:div w:id="226495589">
          <w:marLeft w:val="547"/>
          <w:marRight w:val="0"/>
          <w:marTop w:val="192"/>
          <w:marBottom w:val="0"/>
          <w:divBdr>
            <w:top w:val="none" w:sz="0" w:space="0" w:color="auto"/>
            <w:left w:val="none" w:sz="0" w:space="0" w:color="auto"/>
            <w:bottom w:val="none" w:sz="0" w:space="0" w:color="auto"/>
            <w:right w:val="none" w:sz="0" w:space="0" w:color="auto"/>
          </w:divBdr>
        </w:div>
        <w:div w:id="226495594">
          <w:marLeft w:val="547"/>
          <w:marRight w:val="0"/>
          <w:marTop w:val="192"/>
          <w:marBottom w:val="0"/>
          <w:divBdr>
            <w:top w:val="none" w:sz="0" w:space="0" w:color="auto"/>
            <w:left w:val="none" w:sz="0" w:space="0" w:color="auto"/>
            <w:bottom w:val="none" w:sz="0" w:space="0" w:color="auto"/>
            <w:right w:val="none" w:sz="0" w:space="0" w:color="auto"/>
          </w:divBdr>
        </w:div>
        <w:div w:id="226495598">
          <w:marLeft w:val="547"/>
          <w:marRight w:val="0"/>
          <w:marTop w:val="192"/>
          <w:marBottom w:val="0"/>
          <w:divBdr>
            <w:top w:val="none" w:sz="0" w:space="0" w:color="auto"/>
            <w:left w:val="none" w:sz="0" w:space="0" w:color="auto"/>
            <w:bottom w:val="none" w:sz="0" w:space="0" w:color="auto"/>
            <w:right w:val="none" w:sz="0" w:space="0" w:color="auto"/>
          </w:divBdr>
        </w:div>
        <w:div w:id="226495605">
          <w:marLeft w:val="547"/>
          <w:marRight w:val="0"/>
          <w:marTop w:val="192"/>
          <w:marBottom w:val="0"/>
          <w:divBdr>
            <w:top w:val="none" w:sz="0" w:space="0" w:color="auto"/>
            <w:left w:val="none" w:sz="0" w:space="0" w:color="auto"/>
            <w:bottom w:val="none" w:sz="0" w:space="0" w:color="auto"/>
            <w:right w:val="none" w:sz="0" w:space="0" w:color="auto"/>
          </w:divBdr>
        </w:div>
      </w:divsChild>
    </w:div>
    <w:div w:id="226495583">
      <w:marLeft w:val="0"/>
      <w:marRight w:val="0"/>
      <w:marTop w:val="0"/>
      <w:marBottom w:val="0"/>
      <w:divBdr>
        <w:top w:val="none" w:sz="0" w:space="0" w:color="auto"/>
        <w:left w:val="none" w:sz="0" w:space="0" w:color="auto"/>
        <w:bottom w:val="none" w:sz="0" w:space="0" w:color="auto"/>
        <w:right w:val="none" w:sz="0" w:space="0" w:color="auto"/>
      </w:divBdr>
      <w:divsChild>
        <w:div w:id="226495532">
          <w:marLeft w:val="1166"/>
          <w:marRight w:val="0"/>
          <w:marTop w:val="77"/>
          <w:marBottom w:val="0"/>
          <w:divBdr>
            <w:top w:val="none" w:sz="0" w:space="0" w:color="auto"/>
            <w:left w:val="none" w:sz="0" w:space="0" w:color="auto"/>
            <w:bottom w:val="none" w:sz="0" w:space="0" w:color="auto"/>
            <w:right w:val="none" w:sz="0" w:space="0" w:color="auto"/>
          </w:divBdr>
        </w:div>
        <w:div w:id="226495550">
          <w:marLeft w:val="547"/>
          <w:marRight w:val="0"/>
          <w:marTop w:val="86"/>
          <w:marBottom w:val="0"/>
          <w:divBdr>
            <w:top w:val="none" w:sz="0" w:space="0" w:color="auto"/>
            <w:left w:val="none" w:sz="0" w:space="0" w:color="auto"/>
            <w:bottom w:val="none" w:sz="0" w:space="0" w:color="auto"/>
            <w:right w:val="none" w:sz="0" w:space="0" w:color="auto"/>
          </w:divBdr>
        </w:div>
        <w:div w:id="226495551">
          <w:marLeft w:val="1166"/>
          <w:marRight w:val="0"/>
          <w:marTop w:val="77"/>
          <w:marBottom w:val="0"/>
          <w:divBdr>
            <w:top w:val="none" w:sz="0" w:space="0" w:color="auto"/>
            <w:left w:val="none" w:sz="0" w:space="0" w:color="auto"/>
            <w:bottom w:val="none" w:sz="0" w:space="0" w:color="auto"/>
            <w:right w:val="none" w:sz="0" w:space="0" w:color="auto"/>
          </w:divBdr>
        </w:div>
        <w:div w:id="226495552">
          <w:marLeft w:val="547"/>
          <w:marRight w:val="0"/>
          <w:marTop w:val="86"/>
          <w:marBottom w:val="0"/>
          <w:divBdr>
            <w:top w:val="none" w:sz="0" w:space="0" w:color="auto"/>
            <w:left w:val="none" w:sz="0" w:space="0" w:color="auto"/>
            <w:bottom w:val="none" w:sz="0" w:space="0" w:color="auto"/>
            <w:right w:val="none" w:sz="0" w:space="0" w:color="auto"/>
          </w:divBdr>
        </w:div>
        <w:div w:id="226495560">
          <w:marLeft w:val="1166"/>
          <w:marRight w:val="0"/>
          <w:marTop w:val="77"/>
          <w:marBottom w:val="0"/>
          <w:divBdr>
            <w:top w:val="none" w:sz="0" w:space="0" w:color="auto"/>
            <w:left w:val="none" w:sz="0" w:space="0" w:color="auto"/>
            <w:bottom w:val="none" w:sz="0" w:space="0" w:color="auto"/>
            <w:right w:val="none" w:sz="0" w:space="0" w:color="auto"/>
          </w:divBdr>
        </w:div>
        <w:div w:id="226495562">
          <w:marLeft w:val="1166"/>
          <w:marRight w:val="0"/>
          <w:marTop w:val="77"/>
          <w:marBottom w:val="0"/>
          <w:divBdr>
            <w:top w:val="none" w:sz="0" w:space="0" w:color="auto"/>
            <w:left w:val="none" w:sz="0" w:space="0" w:color="auto"/>
            <w:bottom w:val="none" w:sz="0" w:space="0" w:color="auto"/>
            <w:right w:val="none" w:sz="0" w:space="0" w:color="auto"/>
          </w:divBdr>
        </w:div>
        <w:div w:id="226495570">
          <w:marLeft w:val="547"/>
          <w:marRight w:val="0"/>
          <w:marTop w:val="86"/>
          <w:marBottom w:val="0"/>
          <w:divBdr>
            <w:top w:val="none" w:sz="0" w:space="0" w:color="auto"/>
            <w:left w:val="none" w:sz="0" w:space="0" w:color="auto"/>
            <w:bottom w:val="none" w:sz="0" w:space="0" w:color="auto"/>
            <w:right w:val="none" w:sz="0" w:space="0" w:color="auto"/>
          </w:divBdr>
        </w:div>
        <w:div w:id="226495572">
          <w:marLeft w:val="1166"/>
          <w:marRight w:val="0"/>
          <w:marTop w:val="77"/>
          <w:marBottom w:val="0"/>
          <w:divBdr>
            <w:top w:val="none" w:sz="0" w:space="0" w:color="auto"/>
            <w:left w:val="none" w:sz="0" w:space="0" w:color="auto"/>
            <w:bottom w:val="none" w:sz="0" w:space="0" w:color="auto"/>
            <w:right w:val="none" w:sz="0" w:space="0" w:color="auto"/>
          </w:divBdr>
        </w:div>
        <w:div w:id="226495577">
          <w:marLeft w:val="1166"/>
          <w:marRight w:val="0"/>
          <w:marTop w:val="77"/>
          <w:marBottom w:val="0"/>
          <w:divBdr>
            <w:top w:val="none" w:sz="0" w:space="0" w:color="auto"/>
            <w:left w:val="none" w:sz="0" w:space="0" w:color="auto"/>
            <w:bottom w:val="none" w:sz="0" w:space="0" w:color="auto"/>
            <w:right w:val="none" w:sz="0" w:space="0" w:color="auto"/>
          </w:divBdr>
        </w:div>
        <w:div w:id="226495585">
          <w:marLeft w:val="547"/>
          <w:marRight w:val="0"/>
          <w:marTop w:val="86"/>
          <w:marBottom w:val="0"/>
          <w:divBdr>
            <w:top w:val="none" w:sz="0" w:space="0" w:color="auto"/>
            <w:left w:val="none" w:sz="0" w:space="0" w:color="auto"/>
            <w:bottom w:val="none" w:sz="0" w:space="0" w:color="auto"/>
            <w:right w:val="none" w:sz="0" w:space="0" w:color="auto"/>
          </w:divBdr>
        </w:div>
        <w:div w:id="226495590">
          <w:marLeft w:val="1166"/>
          <w:marRight w:val="0"/>
          <w:marTop w:val="77"/>
          <w:marBottom w:val="0"/>
          <w:divBdr>
            <w:top w:val="none" w:sz="0" w:space="0" w:color="auto"/>
            <w:left w:val="none" w:sz="0" w:space="0" w:color="auto"/>
            <w:bottom w:val="none" w:sz="0" w:space="0" w:color="auto"/>
            <w:right w:val="none" w:sz="0" w:space="0" w:color="auto"/>
          </w:divBdr>
        </w:div>
        <w:div w:id="226495595">
          <w:marLeft w:val="1166"/>
          <w:marRight w:val="0"/>
          <w:marTop w:val="77"/>
          <w:marBottom w:val="0"/>
          <w:divBdr>
            <w:top w:val="none" w:sz="0" w:space="0" w:color="auto"/>
            <w:left w:val="none" w:sz="0" w:space="0" w:color="auto"/>
            <w:bottom w:val="none" w:sz="0" w:space="0" w:color="auto"/>
            <w:right w:val="none" w:sz="0" w:space="0" w:color="auto"/>
          </w:divBdr>
        </w:div>
        <w:div w:id="226495608">
          <w:marLeft w:val="547"/>
          <w:marRight w:val="0"/>
          <w:marTop w:val="86"/>
          <w:marBottom w:val="0"/>
          <w:divBdr>
            <w:top w:val="none" w:sz="0" w:space="0" w:color="auto"/>
            <w:left w:val="none" w:sz="0" w:space="0" w:color="auto"/>
            <w:bottom w:val="none" w:sz="0" w:space="0" w:color="auto"/>
            <w:right w:val="none" w:sz="0" w:space="0" w:color="auto"/>
          </w:divBdr>
        </w:div>
        <w:div w:id="226495611">
          <w:marLeft w:val="547"/>
          <w:marRight w:val="0"/>
          <w:marTop w:val="86"/>
          <w:marBottom w:val="0"/>
          <w:divBdr>
            <w:top w:val="none" w:sz="0" w:space="0" w:color="auto"/>
            <w:left w:val="none" w:sz="0" w:space="0" w:color="auto"/>
            <w:bottom w:val="none" w:sz="0" w:space="0" w:color="auto"/>
            <w:right w:val="none" w:sz="0" w:space="0" w:color="auto"/>
          </w:divBdr>
        </w:div>
        <w:div w:id="226495612">
          <w:marLeft w:val="1166"/>
          <w:marRight w:val="0"/>
          <w:marTop w:val="77"/>
          <w:marBottom w:val="0"/>
          <w:divBdr>
            <w:top w:val="none" w:sz="0" w:space="0" w:color="auto"/>
            <w:left w:val="none" w:sz="0" w:space="0" w:color="auto"/>
            <w:bottom w:val="none" w:sz="0" w:space="0" w:color="auto"/>
            <w:right w:val="none" w:sz="0" w:space="0" w:color="auto"/>
          </w:divBdr>
        </w:div>
        <w:div w:id="226495614">
          <w:marLeft w:val="547"/>
          <w:marRight w:val="0"/>
          <w:marTop w:val="86"/>
          <w:marBottom w:val="0"/>
          <w:divBdr>
            <w:top w:val="none" w:sz="0" w:space="0" w:color="auto"/>
            <w:left w:val="none" w:sz="0" w:space="0" w:color="auto"/>
            <w:bottom w:val="none" w:sz="0" w:space="0" w:color="auto"/>
            <w:right w:val="none" w:sz="0" w:space="0" w:color="auto"/>
          </w:divBdr>
        </w:div>
        <w:div w:id="226495617">
          <w:marLeft w:val="1166"/>
          <w:marRight w:val="0"/>
          <w:marTop w:val="77"/>
          <w:marBottom w:val="0"/>
          <w:divBdr>
            <w:top w:val="none" w:sz="0" w:space="0" w:color="auto"/>
            <w:left w:val="none" w:sz="0" w:space="0" w:color="auto"/>
            <w:bottom w:val="none" w:sz="0" w:space="0" w:color="auto"/>
            <w:right w:val="none" w:sz="0" w:space="0" w:color="auto"/>
          </w:divBdr>
        </w:div>
      </w:divsChild>
    </w:div>
    <w:div w:id="226495588">
      <w:marLeft w:val="0"/>
      <w:marRight w:val="0"/>
      <w:marTop w:val="0"/>
      <w:marBottom w:val="0"/>
      <w:divBdr>
        <w:top w:val="none" w:sz="0" w:space="0" w:color="auto"/>
        <w:left w:val="none" w:sz="0" w:space="0" w:color="auto"/>
        <w:bottom w:val="none" w:sz="0" w:space="0" w:color="auto"/>
        <w:right w:val="none" w:sz="0" w:space="0" w:color="auto"/>
      </w:divBdr>
      <w:divsChild>
        <w:div w:id="226495533">
          <w:marLeft w:val="547"/>
          <w:marRight w:val="0"/>
          <w:marTop w:val="96"/>
          <w:marBottom w:val="0"/>
          <w:divBdr>
            <w:top w:val="none" w:sz="0" w:space="0" w:color="auto"/>
            <w:left w:val="none" w:sz="0" w:space="0" w:color="auto"/>
            <w:bottom w:val="none" w:sz="0" w:space="0" w:color="auto"/>
            <w:right w:val="none" w:sz="0" w:space="0" w:color="auto"/>
          </w:divBdr>
        </w:div>
        <w:div w:id="226495539">
          <w:marLeft w:val="1166"/>
          <w:marRight w:val="0"/>
          <w:marTop w:val="86"/>
          <w:marBottom w:val="0"/>
          <w:divBdr>
            <w:top w:val="none" w:sz="0" w:space="0" w:color="auto"/>
            <w:left w:val="none" w:sz="0" w:space="0" w:color="auto"/>
            <w:bottom w:val="none" w:sz="0" w:space="0" w:color="auto"/>
            <w:right w:val="none" w:sz="0" w:space="0" w:color="auto"/>
          </w:divBdr>
        </w:div>
        <w:div w:id="226495541">
          <w:marLeft w:val="547"/>
          <w:marRight w:val="0"/>
          <w:marTop w:val="96"/>
          <w:marBottom w:val="0"/>
          <w:divBdr>
            <w:top w:val="none" w:sz="0" w:space="0" w:color="auto"/>
            <w:left w:val="none" w:sz="0" w:space="0" w:color="auto"/>
            <w:bottom w:val="none" w:sz="0" w:space="0" w:color="auto"/>
            <w:right w:val="none" w:sz="0" w:space="0" w:color="auto"/>
          </w:divBdr>
        </w:div>
        <w:div w:id="226495543">
          <w:marLeft w:val="1166"/>
          <w:marRight w:val="0"/>
          <w:marTop w:val="86"/>
          <w:marBottom w:val="0"/>
          <w:divBdr>
            <w:top w:val="none" w:sz="0" w:space="0" w:color="auto"/>
            <w:left w:val="none" w:sz="0" w:space="0" w:color="auto"/>
            <w:bottom w:val="none" w:sz="0" w:space="0" w:color="auto"/>
            <w:right w:val="none" w:sz="0" w:space="0" w:color="auto"/>
          </w:divBdr>
        </w:div>
        <w:div w:id="226495564">
          <w:marLeft w:val="1166"/>
          <w:marRight w:val="0"/>
          <w:marTop w:val="86"/>
          <w:marBottom w:val="0"/>
          <w:divBdr>
            <w:top w:val="none" w:sz="0" w:space="0" w:color="auto"/>
            <w:left w:val="none" w:sz="0" w:space="0" w:color="auto"/>
            <w:bottom w:val="none" w:sz="0" w:space="0" w:color="auto"/>
            <w:right w:val="none" w:sz="0" w:space="0" w:color="auto"/>
          </w:divBdr>
        </w:div>
        <w:div w:id="226495571">
          <w:marLeft w:val="547"/>
          <w:marRight w:val="0"/>
          <w:marTop w:val="96"/>
          <w:marBottom w:val="0"/>
          <w:divBdr>
            <w:top w:val="none" w:sz="0" w:space="0" w:color="auto"/>
            <w:left w:val="none" w:sz="0" w:space="0" w:color="auto"/>
            <w:bottom w:val="none" w:sz="0" w:space="0" w:color="auto"/>
            <w:right w:val="none" w:sz="0" w:space="0" w:color="auto"/>
          </w:divBdr>
        </w:div>
        <w:div w:id="226495578">
          <w:marLeft w:val="547"/>
          <w:marRight w:val="0"/>
          <w:marTop w:val="96"/>
          <w:marBottom w:val="0"/>
          <w:divBdr>
            <w:top w:val="none" w:sz="0" w:space="0" w:color="auto"/>
            <w:left w:val="none" w:sz="0" w:space="0" w:color="auto"/>
            <w:bottom w:val="none" w:sz="0" w:space="0" w:color="auto"/>
            <w:right w:val="none" w:sz="0" w:space="0" w:color="auto"/>
          </w:divBdr>
        </w:div>
        <w:div w:id="226495579">
          <w:marLeft w:val="547"/>
          <w:marRight w:val="0"/>
          <w:marTop w:val="96"/>
          <w:marBottom w:val="0"/>
          <w:divBdr>
            <w:top w:val="none" w:sz="0" w:space="0" w:color="auto"/>
            <w:left w:val="none" w:sz="0" w:space="0" w:color="auto"/>
            <w:bottom w:val="none" w:sz="0" w:space="0" w:color="auto"/>
            <w:right w:val="none" w:sz="0" w:space="0" w:color="auto"/>
          </w:divBdr>
        </w:div>
        <w:div w:id="226495587">
          <w:marLeft w:val="1166"/>
          <w:marRight w:val="0"/>
          <w:marTop w:val="86"/>
          <w:marBottom w:val="0"/>
          <w:divBdr>
            <w:top w:val="none" w:sz="0" w:space="0" w:color="auto"/>
            <w:left w:val="none" w:sz="0" w:space="0" w:color="auto"/>
            <w:bottom w:val="none" w:sz="0" w:space="0" w:color="auto"/>
            <w:right w:val="none" w:sz="0" w:space="0" w:color="auto"/>
          </w:divBdr>
        </w:div>
        <w:div w:id="226495604">
          <w:marLeft w:val="547"/>
          <w:marRight w:val="0"/>
          <w:marTop w:val="96"/>
          <w:marBottom w:val="0"/>
          <w:divBdr>
            <w:top w:val="none" w:sz="0" w:space="0" w:color="auto"/>
            <w:left w:val="none" w:sz="0" w:space="0" w:color="auto"/>
            <w:bottom w:val="none" w:sz="0" w:space="0" w:color="auto"/>
            <w:right w:val="none" w:sz="0" w:space="0" w:color="auto"/>
          </w:divBdr>
        </w:div>
      </w:divsChild>
    </w:div>
    <w:div w:id="226495592">
      <w:marLeft w:val="0"/>
      <w:marRight w:val="0"/>
      <w:marTop w:val="0"/>
      <w:marBottom w:val="0"/>
      <w:divBdr>
        <w:top w:val="none" w:sz="0" w:space="0" w:color="auto"/>
        <w:left w:val="none" w:sz="0" w:space="0" w:color="auto"/>
        <w:bottom w:val="none" w:sz="0" w:space="0" w:color="auto"/>
        <w:right w:val="none" w:sz="0" w:space="0" w:color="auto"/>
      </w:divBdr>
      <w:divsChild>
        <w:div w:id="226495536">
          <w:marLeft w:val="1166"/>
          <w:marRight w:val="0"/>
          <w:marTop w:val="77"/>
          <w:marBottom w:val="0"/>
          <w:divBdr>
            <w:top w:val="none" w:sz="0" w:space="0" w:color="auto"/>
            <w:left w:val="none" w:sz="0" w:space="0" w:color="auto"/>
            <w:bottom w:val="none" w:sz="0" w:space="0" w:color="auto"/>
            <w:right w:val="none" w:sz="0" w:space="0" w:color="auto"/>
          </w:divBdr>
        </w:div>
        <w:div w:id="226495545">
          <w:marLeft w:val="1166"/>
          <w:marRight w:val="0"/>
          <w:marTop w:val="77"/>
          <w:marBottom w:val="0"/>
          <w:divBdr>
            <w:top w:val="none" w:sz="0" w:space="0" w:color="auto"/>
            <w:left w:val="none" w:sz="0" w:space="0" w:color="auto"/>
            <w:bottom w:val="none" w:sz="0" w:space="0" w:color="auto"/>
            <w:right w:val="none" w:sz="0" w:space="0" w:color="auto"/>
          </w:divBdr>
        </w:div>
        <w:div w:id="226495557">
          <w:marLeft w:val="1166"/>
          <w:marRight w:val="0"/>
          <w:marTop w:val="77"/>
          <w:marBottom w:val="0"/>
          <w:divBdr>
            <w:top w:val="none" w:sz="0" w:space="0" w:color="auto"/>
            <w:left w:val="none" w:sz="0" w:space="0" w:color="auto"/>
            <w:bottom w:val="none" w:sz="0" w:space="0" w:color="auto"/>
            <w:right w:val="none" w:sz="0" w:space="0" w:color="auto"/>
          </w:divBdr>
        </w:div>
        <w:div w:id="226495561">
          <w:marLeft w:val="547"/>
          <w:marRight w:val="0"/>
          <w:marTop w:val="86"/>
          <w:marBottom w:val="0"/>
          <w:divBdr>
            <w:top w:val="none" w:sz="0" w:space="0" w:color="auto"/>
            <w:left w:val="none" w:sz="0" w:space="0" w:color="auto"/>
            <w:bottom w:val="none" w:sz="0" w:space="0" w:color="auto"/>
            <w:right w:val="none" w:sz="0" w:space="0" w:color="auto"/>
          </w:divBdr>
        </w:div>
        <w:div w:id="226495563">
          <w:marLeft w:val="547"/>
          <w:marRight w:val="0"/>
          <w:marTop w:val="86"/>
          <w:marBottom w:val="0"/>
          <w:divBdr>
            <w:top w:val="none" w:sz="0" w:space="0" w:color="auto"/>
            <w:left w:val="none" w:sz="0" w:space="0" w:color="auto"/>
            <w:bottom w:val="none" w:sz="0" w:space="0" w:color="auto"/>
            <w:right w:val="none" w:sz="0" w:space="0" w:color="auto"/>
          </w:divBdr>
        </w:div>
        <w:div w:id="226495567">
          <w:marLeft w:val="1166"/>
          <w:marRight w:val="0"/>
          <w:marTop w:val="77"/>
          <w:marBottom w:val="0"/>
          <w:divBdr>
            <w:top w:val="none" w:sz="0" w:space="0" w:color="auto"/>
            <w:left w:val="none" w:sz="0" w:space="0" w:color="auto"/>
            <w:bottom w:val="none" w:sz="0" w:space="0" w:color="auto"/>
            <w:right w:val="none" w:sz="0" w:space="0" w:color="auto"/>
          </w:divBdr>
        </w:div>
        <w:div w:id="226495568">
          <w:marLeft w:val="547"/>
          <w:marRight w:val="0"/>
          <w:marTop w:val="86"/>
          <w:marBottom w:val="0"/>
          <w:divBdr>
            <w:top w:val="none" w:sz="0" w:space="0" w:color="auto"/>
            <w:left w:val="none" w:sz="0" w:space="0" w:color="auto"/>
            <w:bottom w:val="none" w:sz="0" w:space="0" w:color="auto"/>
            <w:right w:val="none" w:sz="0" w:space="0" w:color="auto"/>
          </w:divBdr>
        </w:div>
        <w:div w:id="226495575">
          <w:marLeft w:val="1166"/>
          <w:marRight w:val="0"/>
          <w:marTop w:val="77"/>
          <w:marBottom w:val="0"/>
          <w:divBdr>
            <w:top w:val="none" w:sz="0" w:space="0" w:color="auto"/>
            <w:left w:val="none" w:sz="0" w:space="0" w:color="auto"/>
            <w:bottom w:val="none" w:sz="0" w:space="0" w:color="auto"/>
            <w:right w:val="none" w:sz="0" w:space="0" w:color="auto"/>
          </w:divBdr>
        </w:div>
        <w:div w:id="226495584">
          <w:marLeft w:val="547"/>
          <w:marRight w:val="0"/>
          <w:marTop w:val="86"/>
          <w:marBottom w:val="0"/>
          <w:divBdr>
            <w:top w:val="none" w:sz="0" w:space="0" w:color="auto"/>
            <w:left w:val="none" w:sz="0" w:space="0" w:color="auto"/>
            <w:bottom w:val="none" w:sz="0" w:space="0" w:color="auto"/>
            <w:right w:val="none" w:sz="0" w:space="0" w:color="auto"/>
          </w:divBdr>
        </w:div>
        <w:div w:id="226495591">
          <w:marLeft w:val="1166"/>
          <w:marRight w:val="0"/>
          <w:marTop w:val="77"/>
          <w:marBottom w:val="0"/>
          <w:divBdr>
            <w:top w:val="none" w:sz="0" w:space="0" w:color="auto"/>
            <w:left w:val="none" w:sz="0" w:space="0" w:color="auto"/>
            <w:bottom w:val="none" w:sz="0" w:space="0" w:color="auto"/>
            <w:right w:val="none" w:sz="0" w:space="0" w:color="auto"/>
          </w:divBdr>
        </w:div>
        <w:div w:id="226495593">
          <w:marLeft w:val="1166"/>
          <w:marRight w:val="0"/>
          <w:marTop w:val="77"/>
          <w:marBottom w:val="0"/>
          <w:divBdr>
            <w:top w:val="none" w:sz="0" w:space="0" w:color="auto"/>
            <w:left w:val="none" w:sz="0" w:space="0" w:color="auto"/>
            <w:bottom w:val="none" w:sz="0" w:space="0" w:color="auto"/>
            <w:right w:val="none" w:sz="0" w:space="0" w:color="auto"/>
          </w:divBdr>
        </w:div>
        <w:div w:id="226495607">
          <w:marLeft w:val="1166"/>
          <w:marRight w:val="0"/>
          <w:marTop w:val="77"/>
          <w:marBottom w:val="0"/>
          <w:divBdr>
            <w:top w:val="none" w:sz="0" w:space="0" w:color="auto"/>
            <w:left w:val="none" w:sz="0" w:space="0" w:color="auto"/>
            <w:bottom w:val="none" w:sz="0" w:space="0" w:color="auto"/>
            <w:right w:val="none" w:sz="0" w:space="0" w:color="auto"/>
          </w:divBdr>
        </w:div>
        <w:div w:id="226495609">
          <w:marLeft w:val="547"/>
          <w:marRight w:val="0"/>
          <w:marTop w:val="86"/>
          <w:marBottom w:val="0"/>
          <w:divBdr>
            <w:top w:val="none" w:sz="0" w:space="0" w:color="auto"/>
            <w:left w:val="none" w:sz="0" w:space="0" w:color="auto"/>
            <w:bottom w:val="none" w:sz="0" w:space="0" w:color="auto"/>
            <w:right w:val="none" w:sz="0" w:space="0" w:color="auto"/>
          </w:divBdr>
        </w:div>
        <w:div w:id="226495610">
          <w:marLeft w:val="1166"/>
          <w:marRight w:val="0"/>
          <w:marTop w:val="77"/>
          <w:marBottom w:val="0"/>
          <w:divBdr>
            <w:top w:val="none" w:sz="0" w:space="0" w:color="auto"/>
            <w:left w:val="none" w:sz="0" w:space="0" w:color="auto"/>
            <w:bottom w:val="none" w:sz="0" w:space="0" w:color="auto"/>
            <w:right w:val="none" w:sz="0" w:space="0" w:color="auto"/>
          </w:divBdr>
        </w:div>
      </w:divsChild>
    </w:div>
    <w:div w:id="226495603">
      <w:marLeft w:val="0"/>
      <w:marRight w:val="0"/>
      <w:marTop w:val="0"/>
      <w:marBottom w:val="0"/>
      <w:divBdr>
        <w:top w:val="none" w:sz="0" w:space="0" w:color="auto"/>
        <w:left w:val="none" w:sz="0" w:space="0" w:color="auto"/>
        <w:bottom w:val="none" w:sz="0" w:space="0" w:color="auto"/>
        <w:right w:val="none" w:sz="0" w:space="0" w:color="auto"/>
      </w:divBdr>
      <w:divsChild>
        <w:div w:id="226495542">
          <w:marLeft w:val="1166"/>
          <w:marRight w:val="0"/>
          <w:marTop w:val="82"/>
          <w:marBottom w:val="0"/>
          <w:divBdr>
            <w:top w:val="none" w:sz="0" w:space="0" w:color="auto"/>
            <w:left w:val="none" w:sz="0" w:space="0" w:color="auto"/>
            <w:bottom w:val="none" w:sz="0" w:space="0" w:color="auto"/>
            <w:right w:val="none" w:sz="0" w:space="0" w:color="auto"/>
          </w:divBdr>
        </w:div>
        <w:div w:id="226495554">
          <w:marLeft w:val="547"/>
          <w:marRight w:val="0"/>
          <w:marTop w:val="91"/>
          <w:marBottom w:val="0"/>
          <w:divBdr>
            <w:top w:val="none" w:sz="0" w:space="0" w:color="auto"/>
            <w:left w:val="none" w:sz="0" w:space="0" w:color="auto"/>
            <w:bottom w:val="none" w:sz="0" w:space="0" w:color="auto"/>
            <w:right w:val="none" w:sz="0" w:space="0" w:color="auto"/>
          </w:divBdr>
        </w:div>
        <w:div w:id="226495556">
          <w:marLeft w:val="547"/>
          <w:marRight w:val="0"/>
          <w:marTop w:val="91"/>
          <w:marBottom w:val="0"/>
          <w:divBdr>
            <w:top w:val="none" w:sz="0" w:space="0" w:color="auto"/>
            <w:left w:val="none" w:sz="0" w:space="0" w:color="auto"/>
            <w:bottom w:val="none" w:sz="0" w:space="0" w:color="auto"/>
            <w:right w:val="none" w:sz="0" w:space="0" w:color="auto"/>
          </w:divBdr>
        </w:div>
        <w:div w:id="226495565">
          <w:marLeft w:val="547"/>
          <w:marRight w:val="0"/>
          <w:marTop w:val="91"/>
          <w:marBottom w:val="0"/>
          <w:divBdr>
            <w:top w:val="none" w:sz="0" w:space="0" w:color="auto"/>
            <w:left w:val="none" w:sz="0" w:space="0" w:color="auto"/>
            <w:bottom w:val="none" w:sz="0" w:space="0" w:color="auto"/>
            <w:right w:val="none" w:sz="0" w:space="0" w:color="auto"/>
          </w:divBdr>
        </w:div>
        <w:div w:id="226495569">
          <w:marLeft w:val="547"/>
          <w:marRight w:val="0"/>
          <w:marTop w:val="91"/>
          <w:marBottom w:val="0"/>
          <w:divBdr>
            <w:top w:val="none" w:sz="0" w:space="0" w:color="auto"/>
            <w:left w:val="none" w:sz="0" w:space="0" w:color="auto"/>
            <w:bottom w:val="none" w:sz="0" w:space="0" w:color="auto"/>
            <w:right w:val="none" w:sz="0" w:space="0" w:color="auto"/>
          </w:divBdr>
        </w:div>
        <w:div w:id="226495573">
          <w:marLeft w:val="1166"/>
          <w:marRight w:val="0"/>
          <w:marTop w:val="82"/>
          <w:marBottom w:val="0"/>
          <w:divBdr>
            <w:top w:val="none" w:sz="0" w:space="0" w:color="auto"/>
            <w:left w:val="none" w:sz="0" w:space="0" w:color="auto"/>
            <w:bottom w:val="none" w:sz="0" w:space="0" w:color="auto"/>
            <w:right w:val="none" w:sz="0" w:space="0" w:color="auto"/>
          </w:divBdr>
        </w:div>
        <w:div w:id="226495580">
          <w:marLeft w:val="1166"/>
          <w:marRight w:val="0"/>
          <w:marTop w:val="82"/>
          <w:marBottom w:val="0"/>
          <w:divBdr>
            <w:top w:val="none" w:sz="0" w:space="0" w:color="auto"/>
            <w:left w:val="none" w:sz="0" w:space="0" w:color="auto"/>
            <w:bottom w:val="none" w:sz="0" w:space="0" w:color="auto"/>
            <w:right w:val="none" w:sz="0" w:space="0" w:color="auto"/>
          </w:divBdr>
        </w:div>
        <w:div w:id="226495586">
          <w:marLeft w:val="547"/>
          <w:marRight w:val="0"/>
          <w:marTop w:val="91"/>
          <w:marBottom w:val="0"/>
          <w:divBdr>
            <w:top w:val="none" w:sz="0" w:space="0" w:color="auto"/>
            <w:left w:val="none" w:sz="0" w:space="0" w:color="auto"/>
            <w:bottom w:val="none" w:sz="0" w:space="0" w:color="auto"/>
            <w:right w:val="none" w:sz="0" w:space="0" w:color="auto"/>
          </w:divBdr>
        </w:div>
        <w:div w:id="226495606">
          <w:marLeft w:val="547"/>
          <w:marRight w:val="0"/>
          <w:marTop w:val="91"/>
          <w:marBottom w:val="0"/>
          <w:divBdr>
            <w:top w:val="none" w:sz="0" w:space="0" w:color="auto"/>
            <w:left w:val="none" w:sz="0" w:space="0" w:color="auto"/>
            <w:bottom w:val="none" w:sz="0" w:space="0" w:color="auto"/>
            <w:right w:val="none" w:sz="0" w:space="0" w:color="auto"/>
          </w:divBdr>
        </w:div>
        <w:div w:id="226495613">
          <w:marLeft w:val="547"/>
          <w:marRight w:val="0"/>
          <w:marTop w:val="91"/>
          <w:marBottom w:val="0"/>
          <w:divBdr>
            <w:top w:val="none" w:sz="0" w:space="0" w:color="auto"/>
            <w:left w:val="none" w:sz="0" w:space="0" w:color="auto"/>
            <w:bottom w:val="none" w:sz="0" w:space="0" w:color="auto"/>
            <w:right w:val="none" w:sz="0" w:space="0" w:color="auto"/>
          </w:divBdr>
        </w:div>
        <w:div w:id="226495615">
          <w:marLeft w:val="1166"/>
          <w:marRight w:val="0"/>
          <w:marTop w:val="82"/>
          <w:marBottom w:val="0"/>
          <w:divBdr>
            <w:top w:val="none" w:sz="0" w:space="0" w:color="auto"/>
            <w:left w:val="none" w:sz="0" w:space="0" w:color="auto"/>
            <w:bottom w:val="none" w:sz="0" w:space="0" w:color="auto"/>
            <w:right w:val="none" w:sz="0" w:space="0" w:color="auto"/>
          </w:divBdr>
        </w:div>
        <w:div w:id="226495616">
          <w:marLeft w:val="547"/>
          <w:marRight w:val="0"/>
          <w:marTop w:val="91"/>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19</Pages>
  <Words>4226</Words>
  <Characters>24089</Characters>
  <Application>Microsoft Office Outlook</Application>
  <DocSecurity>0</DocSecurity>
  <Lines>0</Lines>
  <Paragraphs>0</Paragraphs>
  <ScaleCrop>false</ScaleCrop>
  <Company>HBFCL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 Paper on Mortgage Refinance Company </dc:title>
  <dc:subject/>
  <dc:creator>nafees8865</dc:creator>
  <cp:keywords/>
  <dc:description/>
  <cp:lastModifiedBy>Zaigham Rizvi</cp:lastModifiedBy>
  <cp:revision>2</cp:revision>
  <cp:lastPrinted>2010-01-16T07:09:00Z</cp:lastPrinted>
  <dcterms:created xsi:type="dcterms:W3CDTF">2010-01-16T16:36:00Z</dcterms:created>
  <dcterms:modified xsi:type="dcterms:W3CDTF">2010-01-16T16:36:00Z</dcterms:modified>
</cp:coreProperties>
</file>