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D38" w:rsidRDefault="00FD3D38" w:rsidP="005937FF">
      <w:pPr>
        <w:spacing w:after="0"/>
        <w:rPr>
          <w:rFonts w:cs="Calibri"/>
          <w:b/>
          <w:sz w:val="32"/>
          <w:szCs w:val="32"/>
          <w:u w:val="single"/>
        </w:rPr>
      </w:pPr>
      <w:proofErr w:type="gramStart"/>
      <w:r>
        <w:rPr>
          <w:rFonts w:cs="Calibri"/>
          <w:b/>
          <w:sz w:val="32"/>
          <w:szCs w:val="32"/>
          <w:u w:val="single"/>
        </w:rPr>
        <w:t xml:space="preserve">Working  </w:t>
      </w:r>
      <w:r w:rsidRPr="00AB134C">
        <w:rPr>
          <w:rFonts w:cs="Calibri"/>
          <w:b/>
          <w:sz w:val="32"/>
          <w:szCs w:val="32"/>
          <w:u w:val="single"/>
        </w:rPr>
        <w:t>Paper</w:t>
      </w:r>
      <w:proofErr w:type="gramEnd"/>
      <w:r w:rsidRPr="00AB134C">
        <w:rPr>
          <w:rFonts w:cs="Calibri"/>
          <w:b/>
          <w:sz w:val="32"/>
          <w:szCs w:val="32"/>
          <w:u w:val="single"/>
        </w:rPr>
        <w:t xml:space="preserve"> – Housing Finance</w:t>
      </w:r>
    </w:p>
    <w:p w:rsidR="00FD3D38" w:rsidRDefault="00FD3D38" w:rsidP="004A3C10">
      <w:pPr>
        <w:jc w:val="both"/>
        <w:rPr>
          <w:rFonts w:cs="Calibri"/>
          <w:bCs/>
        </w:rPr>
      </w:pPr>
    </w:p>
    <w:p w:rsidR="00FD3D38" w:rsidRPr="002433B9" w:rsidRDefault="00FD3D38" w:rsidP="004A3C10">
      <w:pPr>
        <w:jc w:val="both"/>
        <w:rPr>
          <w:rFonts w:cs="Calibri"/>
          <w:bCs/>
        </w:rPr>
      </w:pPr>
      <w:r w:rsidRPr="002433B9">
        <w:rPr>
          <w:rFonts w:cs="Calibri"/>
          <w:bCs/>
        </w:rPr>
        <w:t xml:space="preserve">Housing finance continues to have very significant relevance on the micro and </w:t>
      </w:r>
      <w:proofErr w:type="spellStart"/>
      <w:r w:rsidRPr="002433B9">
        <w:rPr>
          <w:rFonts w:cs="Calibri"/>
          <w:bCs/>
        </w:rPr>
        <w:t>macro economic</w:t>
      </w:r>
      <w:proofErr w:type="spellEnd"/>
      <w:r w:rsidRPr="002433B9">
        <w:rPr>
          <w:rFonts w:cs="Calibri"/>
          <w:bCs/>
        </w:rPr>
        <w:t xml:space="preserve"> health of the country. A well-functioning housing finance system offers incentives for households to save, provides investors with opportunities to gain stable, long term returns, creates large numbers of jobs for skilled and unskilled workers in construction and ancillary industries, enables home owners to leverage their physical assets into financial assets for investment, and contributes greatly to the deepening and broadening of the financial sector. </w:t>
      </w:r>
    </w:p>
    <w:p w:rsidR="00FD3D38" w:rsidRPr="002433B9" w:rsidRDefault="00FD3D38" w:rsidP="004A3C10">
      <w:pPr>
        <w:jc w:val="both"/>
        <w:rPr>
          <w:rFonts w:cs="Calibri"/>
          <w:bCs/>
        </w:rPr>
      </w:pPr>
      <w:r w:rsidRPr="002433B9">
        <w:rPr>
          <w:rFonts w:cs="Calibri"/>
          <w:bCs/>
        </w:rPr>
        <w:t xml:space="preserve">Housing market activity is thus an important leading indicator of overall macroeconomic activity and has a tremendous impact, both in terms of providing social stability and in promoting economic development. Resultantly, ensuring the availability of housing and the growth of housing finance markets </w:t>
      </w:r>
      <w:r>
        <w:rPr>
          <w:rFonts w:cs="Calibri"/>
          <w:bCs/>
        </w:rPr>
        <w:t xml:space="preserve">must be </w:t>
      </w:r>
      <w:r w:rsidRPr="002433B9">
        <w:rPr>
          <w:rFonts w:cs="Calibri"/>
          <w:bCs/>
        </w:rPr>
        <w:t xml:space="preserve">a policy priority in </w:t>
      </w:r>
      <w:smartTag w:uri="urn:schemas-microsoft-com:office:smarttags" w:element="country-region">
        <w:smartTag w:uri="urn:schemas-microsoft-com:office:smarttags" w:element="place">
          <w:r w:rsidRPr="002433B9">
            <w:rPr>
              <w:rFonts w:cs="Calibri"/>
              <w:bCs/>
            </w:rPr>
            <w:t>Pakistan</w:t>
          </w:r>
        </w:smartTag>
      </w:smartTag>
      <w:r w:rsidRPr="002433B9">
        <w:rPr>
          <w:rFonts w:cs="Calibri"/>
          <w:bCs/>
        </w:rPr>
        <w:t>.</w:t>
      </w:r>
    </w:p>
    <w:p w:rsidR="00FD3D38" w:rsidRDefault="00FD3D38" w:rsidP="00D432F5">
      <w:pPr>
        <w:pStyle w:val="ListParagraph"/>
        <w:spacing w:after="0" w:line="240" w:lineRule="auto"/>
        <w:ind w:left="0"/>
        <w:jc w:val="both"/>
        <w:rPr>
          <w:b/>
        </w:rPr>
      </w:pPr>
      <w:r w:rsidRPr="00A074E8">
        <w:t xml:space="preserve">Supply of affordable housing has major impact in terms of improving living conditions, health, education and human development. </w:t>
      </w:r>
      <w:r>
        <w:t>In order t</w:t>
      </w:r>
      <w:r w:rsidRPr="00A92746">
        <w:t>o cr</w:t>
      </w:r>
      <w:r>
        <w:t>e</w:t>
      </w:r>
      <w:r w:rsidRPr="00A92746">
        <w:t>ate an enabling environment for an efficient housing sector to boost up the mortgage finance industry</w:t>
      </w:r>
      <w:r>
        <w:t>,</w:t>
      </w:r>
      <w:r>
        <w:rPr>
          <w:b/>
        </w:rPr>
        <w:t xml:space="preserve"> </w:t>
      </w:r>
      <w:r w:rsidRPr="002D77C3">
        <w:t>there is a need of</w:t>
      </w:r>
      <w:r>
        <w:rPr>
          <w:b/>
        </w:rPr>
        <w:t xml:space="preserve"> </w:t>
      </w:r>
      <w:r>
        <w:t>urgent attention of all key stakeholders.</w:t>
      </w:r>
    </w:p>
    <w:p w:rsidR="00FD3D38" w:rsidRDefault="00FD3D38" w:rsidP="00AE7184">
      <w:pPr>
        <w:autoSpaceDE w:val="0"/>
        <w:autoSpaceDN w:val="0"/>
        <w:adjustRightInd w:val="0"/>
        <w:spacing w:before="240" w:after="0" w:line="240" w:lineRule="auto"/>
        <w:rPr>
          <w:rFonts w:cs="Calibri"/>
          <w:b/>
          <w:sz w:val="28"/>
          <w:szCs w:val="28"/>
          <w:u w:val="single"/>
        </w:rPr>
      </w:pPr>
    </w:p>
    <w:p w:rsidR="00FD3D38" w:rsidRPr="005937FF" w:rsidRDefault="00FD3D38" w:rsidP="00AE7184">
      <w:pPr>
        <w:autoSpaceDE w:val="0"/>
        <w:autoSpaceDN w:val="0"/>
        <w:adjustRightInd w:val="0"/>
        <w:spacing w:before="240" w:after="0" w:line="240" w:lineRule="auto"/>
        <w:rPr>
          <w:rFonts w:cs="Calibri"/>
          <w:color w:val="808080"/>
          <w:sz w:val="28"/>
          <w:szCs w:val="28"/>
        </w:rPr>
      </w:pPr>
      <w:r w:rsidRPr="005937FF">
        <w:rPr>
          <w:rFonts w:cs="Calibri"/>
          <w:b/>
          <w:sz w:val="28"/>
          <w:szCs w:val="28"/>
          <w:u w:val="single"/>
        </w:rPr>
        <w:t xml:space="preserve">Housing Finance Market </w:t>
      </w:r>
    </w:p>
    <w:p w:rsidR="00FD3D38" w:rsidRDefault="00FD3D38" w:rsidP="004A3C10">
      <w:pPr>
        <w:spacing w:after="0"/>
        <w:jc w:val="both"/>
      </w:pPr>
    </w:p>
    <w:p w:rsidR="00FD3D38" w:rsidRPr="0058699D" w:rsidRDefault="00FD3D38" w:rsidP="004A3C10">
      <w:pPr>
        <w:spacing w:after="0"/>
        <w:jc w:val="both"/>
      </w:pPr>
      <w:r w:rsidRPr="0058699D">
        <w:t xml:space="preserve">The country’s population is booming and the ever-increasing mass of humanity is moving to the cities like never before. At present about 38 percent of the population of more than 170 million resides in urban areas and this proportion is only rising further each year. </w:t>
      </w:r>
      <w:r>
        <w:t xml:space="preserve"> </w:t>
      </w:r>
      <w:r w:rsidRPr="0058699D">
        <w:t>The pace of urbanization is leaving existing social infrastructure in the lurch. Studies attest that over 45 percent of the total urban population dwells in slums or irregular settlements which speak volume of the deplorable state of housing finance in the country</w:t>
      </w:r>
      <w:r>
        <w:t>.</w:t>
      </w:r>
    </w:p>
    <w:p w:rsidR="00FD3D38" w:rsidRDefault="00FD3D38" w:rsidP="00AE7184">
      <w:pPr>
        <w:autoSpaceDE w:val="0"/>
        <w:autoSpaceDN w:val="0"/>
        <w:adjustRightInd w:val="0"/>
        <w:spacing w:after="0"/>
        <w:jc w:val="both"/>
        <w:rPr>
          <w:rFonts w:cs="Calibri"/>
          <w:bCs/>
        </w:rPr>
      </w:pPr>
    </w:p>
    <w:p w:rsidR="00FD3D38" w:rsidRDefault="00FD3D38" w:rsidP="00AE7184">
      <w:pPr>
        <w:autoSpaceDE w:val="0"/>
        <w:autoSpaceDN w:val="0"/>
        <w:adjustRightInd w:val="0"/>
        <w:spacing w:after="0"/>
        <w:jc w:val="both"/>
        <w:rPr>
          <w:rFonts w:cs="Calibri"/>
          <w:bCs/>
        </w:rPr>
      </w:pPr>
      <w:smartTag w:uri="urn:schemas-microsoft-com:office:smarttags" w:element="country-region">
        <w:smartTag w:uri="urn:schemas-microsoft-com:office:smarttags" w:element="place">
          <w:r w:rsidRPr="00A92746">
            <w:rPr>
              <w:rFonts w:cs="Calibri"/>
              <w:bCs/>
            </w:rPr>
            <w:t>Pakistan</w:t>
          </w:r>
        </w:smartTag>
      </w:smartTag>
      <w:r w:rsidRPr="00A92746">
        <w:rPr>
          <w:rFonts w:cs="Calibri"/>
          <w:bCs/>
        </w:rPr>
        <w:t xml:space="preserve"> is faced with increasing shortage of housing units, particularly for low and middle income groups. According to World Bank estimates, there was a backlog of around eight million housing units in 2009, and the gap between supply and demand is increasing by more than 300,000 units every year. Recently, the macroeconomic environment, particularly financial instability and volatile interest rates, impeded the flow of affordable long-term housing finance. Today, the sector is still plagued by inadequate long-term finance and a complex web of ineffective property titling and land registration systems that do not reliably guarantee property rights, and thus severely limit access to housing finance.</w:t>
      </w:r>
    </w:p>
    <w:p w:rsidR="00FD3D38" w:rsidRDefault="00FD3D38" w:rsidP="00AE7184">
      <w:pPr>
        <w:autoSpaceDE w:val="0"/>
        <w:autoSpaceDN w:val="0"/>
        <w:adjustRightInd w:val="0"/>
        <w:spacing w:after="0"/>
        <w:jc w:val="both"/>
        <w:rPr>
          <w:rFonts w:cs="Calibri"/>
          <w:bCs/>
        </w:rPr>
      </w:pPr>
    </w:p>
    <w:p w:rsidR="00FD3D38" w:rsidRPr="00F93C07" w:rsidRDefault="00FD3D38" w:rsidP="00061180">
      <w:pPr>
        <w:spacing w:after="0"/>
        <w:jc w:val="both"/>
        <w:rPr>
          <w:rFonts w:cs="Calibri"/>
        </w:rPr>
      </w:pPr>
      <w:r>
        <w:rPr>
          <w:rFonts w:cs="Calibri"/>
          <w:bCs/>
        </w:rPr>
        <w:t>T</w:t>
      </w:r>
      <w:r w:rsidRPr="00A92746">
        <w:rPr>
          <w:rFonts w:cs="Calibri"/>
          <w:bCs/>
        </w:rPr>
        <w:t xml:space="preserve">he housing sector has been facing a problem of not only supply shortages but also escalating prices. </w:t>
      </w:r>
      <w:smartTag w:uri="urn:schemas-microsoft-com:office:smarttags" w:element="country-region">
        <w:smartTag w:uri="urn:schemas-microsoft-com:office:smarttags" w:element="place">
          <w:r w:rsidRPr="00F93C07">
            <w:rPr>
              <w:rFonts w:cs="Calibri"/>
            </w:rPr>
            <w:t>Pakistan</w:t>
          </w:r>
        </w:smartTag>
      </w:smartTag>
      <w:r w:rsidRPr="00F93C07">
        <w:rPr>
          <w:rFonts w:cs="Calibri"/>
        </w:rPr>
        <w:t xml:space="preserve"> witnessed a real estate boom during 2003 to 2008. Property prices skyrocketed across the country and to buy a home was impossible for an ordinary Pakistani due to the frequently increasing prices. </w:t>
      </w:r>
      <w:r>
        <w:rPr>
          <w:rFonts w:cs="Calibri"/>
        </w:rPr>
        <w:t xml:space="preserve"> </w:t>
      </w:r>
      <w:r w:rsidRPr="00F93C07">
        <w:rPr>
          <w:rFonts w:cs="Calibri"/>
        </w:rPr>
        <w:t xml:space="preserve">In the year 2008, the real estate bubble came to an end and property market witnessed a slump. </w:t>
      </w:r>
      <w:r>
        <w:rPr>
          <w:rFonts w:cs="Calibri"/>
        </w:rPr>
        <w:t xml:space="preserve"> </w:t>
      </w:r>
      <w:r w:rsidRPr="00F93C07">
        <w:rPr>
          <w:rFonts w:cs="Calibri"/>
        </w:rPr>
        <w:t>All the banks engaged in housing finance business either stopped or slow down the mortgage business</w:t>
      </w:r>
      <w:r>
        <w:rPr>
          <w:rFonts w:cs="Calibri"/>
        </w:rPr>
        <w:t xml:space="preserve"> at that time.   </w:t>
      </w:r>
    </w:p>
    <w:p w:rsidR="00FD3D38" w:rsidRDefault="00FD3D38" w:rsidP="006200FA">
      <w:pPr>
        <w:spacing w:before="240"/>
        <w:jc w:val="both"/>
      </w:pPr>
      <w:r w:rsidRPr="00A92746">
        <w:rPr>
          <w:rFonts w:cs="Calibri"/>
          <w:bCs/>
        </w:rPr>
        <w:t xml:space="preserve">Although prices settled down in certain parts of 2010 and 2011; these have </w:t>
      </w:r>
      <w:r>
        <w:rPr>
          <w:rFonts w:cs="Calibri"/>
          <w:bCs/>
        </w:rPr>
        <w:t xml:space="preserve">now </w:t>
      </w:r>
      <w:r w:rsidRPr="00A92746">
        <w:rPr>
          <w:rFonts w:cs="Calibri"/>
          <w:bCs/>
        </w:rPr>
        <w:t>again star</w:t>
      </w:r>
      <w:r w:rsidRPr="004C6041">
        <w:rPr>
          <w:rFonts w:cs="Calibri"/>
          <w:bCs/>
        </w:rPr>
        <w:t>t</w:t>
      </w:r>
      <w:r w:rsidRPr="00A92746">
        <w:rPr>
          <w:rFonts w:cs="Calibri"/>
          <w:bCs/>
        </w:rPr>
        <w:t>ed increasing.</w:t>
      </w:r>
      <w:r>
        <w:rPr>
          <w:rFonts w:cs="Calibri"/>
          <w:bCs/>
        </w:rPr>
        <w:t xml:space="preserve">  </w:t>
      </w:r>
      <w:r w:rsidRPr="00A92746">
        <w:rPr>
          <w:rFonts w:cs="Calibri"/>
          <w:bCs/>
        </w:rPr>
        <w:t xml:space="preserve">The problems of supply shortages and escalating prices are indicative of the fact that the housing sector is grossly underdeveloped and undercapitalized. This sector can be capitalized through enhancing outreach of </w:t>
      </w:r>
      <w:r w:rsidRPr="00A92746">
        <w:rPr>
          <w:rFonts w:cs="Calibri"/>
          <w:bCs/>
        </w:rPr>
        <w:lastRenderedPageBreak/>
        <w:t xml:space="preserve">housing finance. However, in the last decade or so mortgage to GDP </w:t>
      </w:r>
      <w:r>
        <w:rPr>
          <w:rFonts w:cs="Calibri"/>
          <w:bCs/>
        </w:rPr>
        <w:t xml:space="preserve">in </w:t>
      </w:r>
      <w:smartTag w:uri="urn:schemas-microsoft-com:office:smarttags" w:element="country-region">
        <w:smartTag w:uri="urn:schemas-microsoft-com:office:smarttags" w:element="place">
          <w:r>
            <w:rPr>
              <w:rFonts w:cs="Calibri"/>
              <w:bCs/>
            </w:rPr>
            <w:t>Pakistan</w:t>
          </w:r>
        </w:smartTag>
      </w:smartTag>
      <w:r>
        <w:rPr>
          <w:rFonts w:cs="Calibri"/>
          <w:bCs/>
        </w:rPr>
        <w:t xml:space="preserve"> </w:t>
      </w:r>
      <w:r w:rsidRPr="00A92746">
        <w:rPr>
          <w:rFonts w:cs="Calibri"/>
          <w:bCs/>
        </w:rPr>
        <w:t xml:space="preserve">has been less than 1 percent </w:t>
      </w:r>
      <w:r>
        <w:t xml:space="preserve">and to be exact it was 0.66% as of March-2013.  </w:t>
      </w:r>
      <w:r w:rsidR="00CC0075">
        <w:t>In case</w:t>
      </w:r>
      <w:r>
        <w:t xml:space="preserve"> the mortgage financing availed by Bank staff is excluded, then the ratio of mortgage to GDP comes to just 0.27% which is a negligible figure whereas the International </w:t>
      </w:r>
      <w:r w:rsidR="00CC0075">
        <w:t>comparable</w:t>
      </w:r>
      <w:r>
        <w:t xml:space="preserve"> of Mortgage to GDP ratios are much higher; even the India has 9% mortgage to GDP ratio.</w:t>
      </w:r>
    </w:p>
    <w:p w:rsidR="00FD3D38" w:rsidRDefault="00FD3D38" w:rsidP="004C6041">
      <w:pPr>
        <w:jc w:val="both"/>
        <w:rPr>
          <w:b/>
          <w:sz w:val="32"/>
          <w:szCs w:val="32"/>
        </w:rPr>
      </w:pPr>
    </w:p>
    <w:p w:rsidR="00FD3D38" w:rsidRPr="007669D3" w:rsidRDefault="00FD3D38" w:rsidP="004C6041">
      <w:pPr>
        <w:jc w:val="both"/>
        <w:rPr>
          <w:b/>
          <w:sz w:val="32"/>
          <w:szCs w:val="32"/>
        </w:rPr>
      </w:pPr>
      <w:r w:rsidRPr="007669D3">
        <w:rPr>
          <w:b/>
          <w:sz w:val="32"/>
          <w:szCs w:val="32"/>
        </w:rPr>
        <w:t xml:space="preserve">Mortgage to GDP Ratio – International </w:t>
      </w:r>
      <w:proofErr w:type="spellStart"/>
      <w:r w:rsidRPr="007669D3">
        <w:rPr>
          <w:b/>
          <w:sz w:val="32"/>
          <w:szCs w:val="32"/>
        </w:rPr>
        <w:t>Comparables</w:t>
      </w:r>
      <w:proofErr w:type="spellEnd"/>
    </w:p>
    <w:p w:rsidR="00FD3D38" w:rsidRDefault="00476DC1" w:rsidP="00AE7184">
      <w:pPr>
        <w:autoSpaceDE w:val="0"/>
        <w:autoSpaceDN w:val="0"/>
        <w:adjustRightInd w:val="0"/>
        <w:spacing w:before="240" w:after="0"/>
        <w:jc w:val="both"/>
        <w:rPr>
          <w:rFonts w:cs="Calibri"/>
          <w:bCs/>
        </w:rPr>
      </w:pPr>
      <w:r>
        <w:rPr>
          <w:rFonts w:cs="Calibri"/>
          <w:bCs/>
          <w:noProof/>
        </w:rPr>
        <w:drawing>
          <wp:inline distT="0" distB="0" distL="0" distR="0">
            <wp:extent cx="6086475" cy="3267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86475" cy="3267075"/>
                    </a:xfrm>
                    <a:prstGeom prst="rect">
                      <a:avLst/>
                    </a:prstGeom>
                    <a:noFill/>
                    <a:ln w="9525">
                      <a:noFill/>
                      <a:miter lim="800000"/>
                      <a:headEnd/>
                      <a:tailEnd/>
                    </a:ln>
                  </pic:spPr>
                </pic:pic>
              </a:graphicData>
            </a:graphic>
          </wp:inline>
        </w:drawing>
      </w:r>
    </w:p>
    <w:p w:rsidR="00FD3D38" w:rsidRPr="00A92746" w:rsidRDefault="00FD3D38" w:rsidP="00AE7184">
      <w:pPr>
        <w:spacing w:before="240"/>
        <w:jc w:val="both"/>
        <w:rPr>
          <w:rFonts w:cs="Calibri"/>
        </w:rPr>
      </w:pPr>
      <w:r w:rsidRPr="00A92746">
        <w:rPr>
          <w:rFonts w:cs="Calibri"/>
        </w:rPr>
        <w:t xml:space="preserve">Within the </w:t>
      </w:r>
      <w:r w:rsidRPr="00A92746">
        <w:rPr>
          <w:rFonts w:cs="Calibri"/>
          <w:bCs/>
        </w:rPr>
        <w:t xml:space="preserve">housing and construction sector in </w:t>
      </w:r>
      <w:smartTag w:uri="urn:schemas-microsoft-com:office:smarttags" w:element="place">
        <w:smartTag w:uri="urn:schemas-microsoft-com:office:smarttags" w:element="country-region">
          <w:r w:rsidRPr="00A92746">
            <w:rPr>
              <w:rFonts w:cs="Calibri"/>
              <w:bCs/>
            </w:rPr>
            <w:t>Pakistan</w:t>
          </w:r>
        </w:smartTag>
      </w:smartTag>
      <w:r w:rsidRPr="00A92746">
        <w:rPr>
          <w:rFonts w:cs="Calibri"/>
          <w:bCs/>
        </w:rPr>
        <w:t>, n</w:t>
      </w:r>
      <w:r w:rsidRPr="00A92746">
        <w:rPr>
          <w:rFonts w:cs="Calibri"/>
        </w:rPr>
        <w:t>early 40 industries are linked, thus providing substantial additional employment opportunities by contributing through a higher multiplier effect with a host of beneficial forward and backward linkages in the economy. With high employment opportunities and growth rate, the Government of Pakistan stipulates that increasing the housing supply can not only reduce the housing shortages, but also give a boost to 40 allied industries linked with it.</w:t>
      </w:r>
    </w:p>
    <w:p w:rsidR="00FD3D38" w:rsidRPr="00DB05EC" w:rsidRDefault="00FD3D38" w:rsidP="006200FA">
      <w:pPr>
        <w:spacing w:before="240"/>
        <w:jc w:val="both"/>
        <w:rPr>
          <w:rFonts w:cs="Calibri"/>
          <w:b/>
          <w:sz w:val="28"/>
          <w:szCs w:val="28"/>
          <w:u w:val="single"/>
        </w:rPr>
      </w:pPr>
      <w:r w:rsidRPr="00DB05EC">
        <w:rPr>
          <w:rFonts w:cs="Calibri"/>
          <w:b/>
          <w:sz w:val="28"/>
          <w:szCs w:val="28"/>
          <w:u w:val="single"/>
        </w:rPr>
        <w:t>Role of Banks / DFIs in Housing Sector</w:t>
      </w:r>
    </w:p>
    <w:p w:rsidR="00FD3D38" w:rsidRPr="003F477F" w:rsidRDefault="00FD3D38" w:rsidP="003E0345">
      <w:pPr>
        <w:jc w:val="both"/>
        <w:rPr>
          <w:rFonts w:cs="Calibri"/>
        </w:rPr>
      </w:pPr>
      <w:r w:rsidRPr="003F477F">
        <w:rPr>
          <w:rFonts w:cs="Calibri"/>
        </w:rPr>
        <w:t xml:space="preserve">Till 2003, HBFCL (House Building Finance Co) was the only specialized housing bank in the country providing housing finance since 1952 while commercial banks entered the mortgage business in the year 2003. </w:t>
      </w:r>
    </w:p>
    <w:p w:rsidR="00FD3D38" w:rsidRDefault="00FD3D38" w:rsidP="003E0345">
      <w:pPr>
        <w:spacing w:after="0"/>
        <w:rPr>
          <w:rFonts w:cs="Calibri"/>
        </w:rPr>
      </w:pPr>
      <w:r w:rsidRPr="00DB05EC">
        <w:rPr>
          <w:rFonts w:cs="Calibri"/>
        </w:rPr>
        <w:t xml:space="preserve">It appears that the Pakistani banking industry took lessons from the global mortgage crisis. After registering a handsome growth until 2008, housing finance portfolio of the banking sector began plunging thereafter. </w:t>
      </w:r>
      <w:r w:rsidRPr="00DB05EC">
        <w:rPr>
          <w:rFonts w:cs="Calibri"/>
        </w:rPr>
        <w:br/>
      </w:r>
      <w:r w:rsidRPr="00DB05EC">
        <w:rPr>
          <w:rFonts w:cs="Calibri"/>
        </w:rPr>
        <w:br/>
        <w:t>NPLs of the h</w:t>
      </w:r>
      <w:r>
        <w:rPr>
          <w:rFonts w:cs="Calibri"/>
        </w:rPr>
        <w:t xml:space="preserve">ousing finance portfolio not much increased But due to decline in the outstanding portfolio, the NPL </w:t>
      </w:r>
      <w:r w:rsidRPr="00DB05EC">
        <w:rPr>
          <w:rFonts w:cs="Calibri"/>
        </w:rPr>
        <w:t>ratio to outstanding loans display</w:t>
      </w:r>
      <w:r>
        <w:rPr>
          <w:rFonts w:cs="Calibri"/>
        </w:rPr>
        <w:t xml:space="preserve">ing </w:t>
      </w:r>
      <w:r w:rsidRPr="00DB05EC">
        <w:rPr>
          <w:rFonts w:cs="Calibri"/>
        </w:rPr>
        <w:t>a rising trend</w:t>
      </w:r>
      <w:r>
        <w:rPr>
          <w:rFonts w:cs="Calibri"/>
        </w:rPr>
        <w:t xml:space="preserve">. </w:t>
      </w:r>
      <w:r w:rsidRPr="00DB05EC">
        <w:rPr>
          <w:rFonts w:cs="Calibri"/>
        </w:rPr>
        <w:br/>
      </w:r>
    </w:p>
    <w:p w:rsidR="00FD3D38" w:rsidRDefault="00FD3D38" w:rsidP="00E41E22">
      <w:pPr>
        <w:spacing w:after="0"/>
        <w:jc w:val="both"/>
        <w:rPr>
          <w:rFonts w:cs="Calibri"/>
        </w:rPr>
      </w:pPr>
      <w:r w:rsidRPr="00DB05EC">
        <w:rPr>
          <w:rFonts w:cs="Calibri"/>
        </w:rPr>
        <w:lastRenderedPageBreak/>
        <w:t xml:space="preserve">Banks continue vigilant lending approach amidst decreased affordability of the borrowers due to inflated prices of property/houses, </w:t>
      </w:r>
      <w:proofErr w:type="spellStart"/>
      <w:r w:rsidRPr="00DB05EC">
        <w:rPr>
          <w:rFonts w:cs="Calibri"/>
        </w:rPr>
        <w:t>labour</w:t>
      </w:r>
      <w:proofErr w:type="spellEnd"/>
      <w:r w:rsidRPr="00DB05EC">
        <w:rPr>
          <w:rFonts w:cs="Calibri"/>
        </w:rPr>
        <w:t xml:space="preserve"> and construction material. Besides, the lack of secondary mortgage market and high rates of housing finance are also the major constraints to the growth of housing finance sector. </w:t>
      </w:r>
      <w:r w:rsidRPr="00DB05EC">
        <w:rPr>
          <w:rFonts w:cs="Calibri"/>
        </w:rPr>
        <w:br/>
      </w:r>
    </w:p>
    <w:p w:rsidR="00FD3D38" w:rsidRDefault="00FD3D38" w:rsidP="00045C69">
      <w:pPr>
        <w:spacing w:before="240"/>
        <w:jc w:val="both"/>
        <w:rPr>
          <w:rFonts w:cs="Calibri"/>
        </w:rPr>
      </w:pPr>
      <w:r w:rsidRPr="00A92746">
        <w:rPr>
          <w:rFonts w:cs="Calibri"/>
        </w:rPr>
        <w:t xml:space="preserve">Despite </w:t>
      </w:r>
      <w:r>
        <w:rPr>
          <w:rFonts w:cs="Calibri"/>
        </w:rPr>
        <w:t xml:space="preserve">the </w:t>
      </w:r>
      <w:r w:rsidRPr="00A92746">
        <w:rPr>
          <w:rFonts w:cs="Calibri"/>
        </w:rPr>
        <w:t xml:space="preserve">of huge socio-economic benefits of housing finance, the higher management of </w:t>
      </w:r>
      <w:r>
        <w:rPr>
          <w:rFonts w:cs="Calibri"/>
        </w:rPr>
        <w:t xml:space="preserve">banks/ </w:t>
      </w:r>
      <w:r w:rsidRPr="00A92746">
        <w:rPr>
          <w:rFonts w:cs="Calibri"/>
        </w:rPr>
        <w:t xml:space="preserve">financial institutions </w:t>
      </w:r>
      <w:r>
        <w:rPr>
          <w:rFonts w:cs="Calibri"/>
        </w:rPr>
        <w:t xml:space="preserve">still </w:t>
      </w:r>
      <w:r w:rsidRPr="00A92746">
        <w:rPr>
          <w:rFonts w:cs="Calibri"/>
        </w:rPr>
        <w:t>seem less interested in housing finance business</w:t>
      </w:r>
      <w:r>
        <w:rPr>
          <w:rFonts w:cs="Calibri"/>
        </w:rPr>
        <w:t>.</w:t>
      </w:r>
    </w:p>
    <w:p w:rsidR="00FD3D38" w:rsidRPr="005937FF" w:rsidRDefault="00FD3D38" w:rsidP="006B2E77">
      <w:pPr>
        <w:spacing w:before="240"/>
        <w:jc w:val="both"/>
        <w:rPr>
          <w:rFonts w:cs="Calibri"/>
          <w:b/>
          <w:sz w:val="28"/>
          <w:szCs w:val="28"/>
          <w:u w:val="single"/>
        </w:rPr>
      </w:pPr>
      <w:r w:rsidRPr="005937FF">
        <w:rPr>
          <w:rFonts w:cs="Calibri"/>
          <w:b/>
          <w:sz w:val="28"/>
          <w:szCs w:val="28"/>
          <w:u w:val="single"/>
        </w:rPr>
        <w:t>Rise of Islamic Housing Finance</w:t>
      </w:r>
    </w:p>
    <w:p w:rsidR="00FD3D38" w:rsidRPr="00045C69" w:rsidRDefault="00FD3D38" w:rsidP="006B2E77">
      <w:pPr>
        <w:spacing w:after="0"/>
        <w:jc w:val="both"/>
        <w:rPr>
          <w:rFonts w:cs="Calibri"/>
        </w:rPr>
      </w:pPr>
      <w:r w:rsidRPr="00F93C07">
        <w:rPr>
          <w:rFonts w:cs="Calibri"/>
        </w:rPr>
        <w:t xml:space="preserve">The Islamic Housing Finance </w:t>
      </w:r>
      <w:r>
        <w:rPr>
          <w:rFonts w:cs="Calibri"/>
        </w:rPr>
        <w:t xml:space="preserve">has also </w:t>
      </w:r>
      <w:r w:rsidRPr="00F93C07">
        <w:rPr>
          <w:rFonts w:cs="Calibri"/>
        </w:rPr>
        <w:t>emerged as most demanded option for Housing Finance.</w:t>
      </w:r>
      <w:r>
        <w:rPr>
          <w:rFonts w:cs="Calibri"/>
        </w:rPr>
        <w:t xml:space="preserve"> The </w:t>
      </w:r>
      <w:r w:rsidRPr="00045C69">
        <w:rPr>
          <w:rFonts w:cs="Calibri"/>
        </w:rPr>
        <w:t xml:space="preserve">Statistics of last year (2012) showing that almost </w:t>
      </w:r>
      <w:r w:rsidRPr="00045C69">
        <w:rPr>
          <w:rFonts w:cs="Calibri"/>
          <w:b/>
          <w:bCs/>
        </w:rPr>
        <w:t>50%</w:t>
      </w:r>
      <w:r w:rsidRPr="00045C69">
        <w:rPr>
          <w:rFonts w:cs="Calibri"/>
        </w:rPr>
        <w:t xml:space="preserve"> of total housing finance disbursement in </w:t>
      </w:r>
      <w:smartTag w:uri="urn:schemas-microsoft-com:office:smarttags" w:element="country-region">
        <w:smartTag w:uri="urn:schemas-microsoft-com:office:smarttags" w:element="place">
          <w:r w:rsidRPr="00045C69">
            <w:rPr>
              <w:rFonts w:cs="Calibri"/>
            </w:rPr>
            <w:t>Pakistan</w:t>
          </w:r>
        </w:smartTag>
      </w:smartTag>
      <w:r w:rsidRPr="00045C69">
        <w:rPr>
          <w:rFonts w:cs="Calibri"/>
        </w:rPr>
        <w:t xml:space="preserve"> in a single year was through Islamic Banking Industry</w:t>
      </w:r>
      <w:r>
        <w:rPr>
          <w:rFonts w:cs="Calibri"/>
        </w:rPr>
        <w:t xml:space="preserve">.  Although, the share of </w:t>
      </w:r>
      <w:r w:rsidRPr="00045C69">
        <w:rPr>
          <w:rFonts w:cs="Calibri"/>
        </w:rPr>
        <w:t>Islamic Banking in Pakistan’s</w:t>
      </w:r>
      <w:r>
        <w:rPr>
          <w:rFonts w:cs="Calibri"/>
        </w:rPr>
        <w:t xml:space="preserve"> </w:t>
      </w:r>
      <w:r w:rsidRPr="00045C69">
        <w:rPr>
          <w:rFonts w:cs="Calibri"/>
        </w:rPr>
        <w:t>banking industry is close to 10%</w:t>
      </w:r>
      <w:r>
        <w:rPr>
          <w:rFonts w:cs="Calibri"/>
        </w:rPr>
        <w:t>, h</w:t>
      </w:r>
      <w:r w:rsidRPr="00045C69">
        <w:rPr>
          <w:rFonts w:cs="Calibri"/>
        </w:rPr>
        <w:t xml:space="preserve">owever </w:t>
      </w:r>
      <w:r w:rsidR="00CC0075" w:rsidRPr="00045C69">
        <w:rPr>
          <w:rFonts w:cs="Calibri"/>
        </w:rPr>
        <w:t>in case</w:t>
      </w:r>
      <w:bookmarkStart w:id="0" w:name="_GoBack"/>
      <w:bookmarkEnd w:id="0"/>
      <w:r w:rsidRPr="00045C69">
        <w:rPr>
          <w:rFonts w:cs="Calibri"/>
        </w:rPr>
        <w:t xml:space="preserve"> of house</w:t>
      </w:r>
      <w:r>
        <w:rPr>
          <w:rFonts w:cs="Calibri"/>
        </w:rPr>
        <w:t xml:space="preserve"> </w:t>
      </w:r>
      <w:r w:rsidRPr="00045C69">
        <w:rPr>
          <w:rFonts w:cs="Calibri"/>
        </w:rPr>
        <w:t>financing the share of Islamic</w:t>
      </w:r>
      <w:r>
        <w:rPr>
          <w:rFonts w:cs="Calibri"/>
        </w:rPr>
        <w:t xml:space="preserve"> </w:t>
      </w:r>
      <w:r w:rsidRPr="00045C69">
        <w:rPr>
          <w:rFonts w:cs="Calibri"/>
        </w:rPr>
        <w:t xml:space="preserve">Banking Industry is </w:t>
      </w:r>
      <w:r w:rsidRPr="00045C69">
        <w:rPr>
          <w:rFonts w:cs="Calibri"/>
          <w:b/>
          <w:bCs/>
        </w:rPr>
        <w:t xml:space="preserve">25% </w:t>
      </w:r>
      <w:r w:rsidRPr="00045C69">
        <w:rPr>
          <w:rFonts w:cs="Calibri"/>
        </w:rPr>
        <w:t>in</w:t>
      </w:r>
      <w:r>
        <w:rPr>
          <w:rFonts w:cs="Calibri"/>
        </w:rPr>
        <w:t xml:space="preserve"> </w:t>
      </w:r>
      <w:r w:rsidRPr="00045C69">
        <w:rPr>
          <w:rFonts w:cs="Calibri"/>
        </w:rPr>
        <w:t>terms of gross outstanding as of</w:t>
      </w:r>
      <w:r>
        <w:rPr>
          <w:rFonts w:cs="Calibri"/>
        </w:rPr>
        <w:t xml:space="preserve"> March 2013.  This share was just 17% a year ago.</w:t>
      </w:r>
    </w:p>
    <w:p w:rsidR="00FD3D38" w:rsidRDefault="00FD3D38" w:rsidP="00DB5469">
      <w:pPr>
        <w:spacing w:before="240"/>
        <w:jc w:val="both"/>
        <w:rPr>
          <w:rFonts w:cs="Calibri"/>
          <w:b/>
          <w:sz w:val="28"/>
          <w:szCs w:val="28"/>
          <w:u w:val="single"/>
        </w:rPr>
      </w:pPr>
      <w:r w:rsidRPr="00DB5469">
        <w:rPr>
          <w:rFonts w:cs="Calibri"/>
        </w:rPr>
        <w:t>The Gross outstanding of the banking sectors decreased over the year except for Islamic Banks which showed an increase of 1</w:t>
      </w:r>
      <w:r>
        <w:rPr>
          <w:rFonts w:cs="Calibri"/>
        </w:rPr>
        <w:t xml:space="preserve">2% as stated in SBP Quarterly Review of Housing as of </w:t>
      </w:r>
      <w:r w:rsidRPr="00DB5469">
        <w:rPr>
          <w:rFonts w:cs="Calibri"/>
        </w:rPr>
        <w:t>March 2013.</w:t>
      </w:r>
      <w:r>
        <w:rPr>
          <w:rFonts w:cs="Calibri"/>
        </w:rPr>
        <w:t xml:space="preserve"> According to the report, t</w:t>
      </w:r>
      <w:r>
        <w:t>he share of Conventional Banking (excluding HBFCL), Islamic Banking Industry and HBFCL in the total outstanding was 51 percent, 24 percent and 25 percent respectively as on March 31, 2013. Islamic Banking Divisions-IBDs (12 windows) and Islamic banks (05 banks) have 27 percent and 73 percent share respectively (IBDs share increased to 27 percent from 21 percent over the year) in housing finance portfolio of Islamic Banking Industry, which shows that conventional banks also consider the Islamic mode of financing an important part of their business strategy.</w:t>
      </w:r>
    </w:p>
    <w:p w:rsidR="00FD3D38" w:rsidRPr="005937FF" w:rsidRDefault="00FD3D38" w:rsidP="00F93C07">
      <w:pPr>
        <w:spacing w:before="240"/>
        <w:jc w:val="both"/>
        <w:rPr>
          <w:rFonts w:cs="Calibri"/>
          <w:b/>
          <w:sz w:val="28"/>
          <w:szCs w:val="28"/>
          <w:u w:val="single"/>
        </w:rPr>
      </w:pPr>
      <w:r w:rsidRPr="005937FF">
        <w:rPr>
          <w:rFonts w:cs="Calibri"/>
          <w:b/>
          <w:sz w:val="28"/>
          <w:szCs w:val="28"/>
          <w:u w:val="single"/>
        </w:rPr>
        <w:t>Housing Finance Statistics</w:t>
      </w:r>
    </w:p>
    <w:p w:rsidR="00FD3D38" w:rsidRPr="00A92746" w:rsidRDefault="00FD3D38" w:rsidP="00F93C07">
      <w:pPr>
        <w:spacing w:after="0"/>
        <w:jc w:val="both"/>
        <w:rPr>
          <w:rFonts w:cs="Calibri"/>
        </w:rPr>
      </w:pPr>
      <w:r w:rsidRPr="00A92746">
        <w:rPr>
          <w:rFonts w:cs="Calibri"/>
        </w:rPr>
        <w:t>After registering a promising growth trend till 2008, the housing finance sector has been showing de</w:t>
      </w:r>
      <w:r>
        <w:rPr>
          <w:rFonts w:cs="Calibri"/>
        </w:rPr>
        <w:t>c</w:t>
      </w:r>
      <w:r w:rsidRPr="00A92746">
        <w:rPr>
          <w:rFonts w:cs="Calibri"/>
        </w:rPr>
        <w:t xml:space="preserve">lining trend afterwards. The gross outstanding reported by banks and DFIs (including HBFCL) as of March 31, 2013 was </w:t>
      </w:r>
      <w:proofErr w:type="spellStart"/>
      <w:r w:rsidRPr="00A92746">
        <w:rPr>
          <w:rFonts w:cs="Calibri"/>
        </w:rPr>
        <w:t>Rs</w:t>
      </w:r>
      <w:proofErr w:type="spellEnd"/>
      <w:r w:rsidRPr="00A92746">
        <w:rPr>
          <w:rFonts w:cs="Calibri"/>
        </w:rPr>
        <w:t xml:space="preserve">. 52.6 billion. It was </w:t>
      </w:r>
      <w:proofErr w:type="spellStart"/>
      <w:r w:rsidRPr="00A92746">
        <w:rPr>
          <w:rFonts w:cs="Calibri"/>
        </w:rPr>
        <w:t>Rs</w:t>
      </w:r>
      <w:proofErr w:type="spellEnd"/>
      <w:r w:rsidRPr="00A92746">
        <w:rPr>
          <w:rFonts w:cs="Calibri"/>
        </w:rPr>
        <w:t>. 58.6</w:t>
      </w:r>
      <w:r w:rsidRPr="00A92746">
        <w:rPr>
          <w:rFonts w:cs="Calibri"/>
          <w:b/>
        </w:rPr>
        <w:t xml:space="preserve"> </w:t>
      </w:r>
      <w:r w:rsidRPr="00A92746">
        <w:rPr>
          <w:rFonts w:cs="Calibri"/>
        </w:rPr>
        <w:t xml:space="preserve">billion as of March 31, 2012 showing a decline of </w:t>
      </w:r>
      <w:proofErr w:type="spellStart"/>
      <w:r w:rsidRPr="00A92746">
        <w:rPr>
          <w:rFonts w:cs="Calibri"/>
        </w:rPr>
        <w:t>Rs</w:t>
      </w:r>
      <w:proofErr w:type="spellEnd"/>
      <w:r w:rsidRPr="00A92746">
        <w:rPr>
          <w:rFonts w:cs="Calibri"/>
        </w:rPr>
        <w:t>. 6 billion (10.2 percent)</w:t>
      </w:r>
      <w:r w:rsidRPr="00A92746">
        <w:rPr>
          <w:rFonts w:cs="Calibri"/>
          <w:color w:val="FF0000"/>
        </w:rPr>
        <w:t xml:space="preserve"> </w:t>
      </w:r>
      <w:r w:rsidRPr="00A92746">
        <w:rPr>
          <w:rFonts w:cs="Calibri"/>
        </w:rPr>
        <w:t>over the year</w:t>
      </w:r>
      <w:r w:rsidRPr="00A92746">
        <w:rPr>
          <w:rFonts w:cs="Calibri"/>
          <w:color w:val="FF0000"/>
        </w:rPr>
        <w:t xml:space="preserve"> </w:t>
      </w:r>
      <w:r w:rsidRPr="00A92746">
        <w:rPr>
          <w:rFonts w:cs="Calibri"/>
        </w:rPr>
        <w:t xml:space="preserve">and </w:t>
      </w:r>
      <w:proofErr w:type="spellStart"/>
      <w:r w:rsidRPr="00A92746">
        <w:rPr>
          <w:rFonts w:cs="Calibri"/>
        </w:rPr>
        <w:t>Rs</w:t>
      </w:r>
      <w:proofErr w:type="spellEnd"/>
      <w:r w:rsidRPr="00A92746">
        <w:rPr>
          <w:rFonts w:cs="Calibri"/>
        </w:rPr>
        <w:t xml:space="preserve">. 55 billion at the end of December 31, 2012. The total number of outstanding borrowers also decreased from 89,125 to 82,346 over a year; showing a fall of 7.6 percent and 2.9 percent decline when compared to last quarter. Non-performing loans decreased from </w:t>
      </w:r>
      <w:proofErr w:type="spellStart"/>
      <w:r w:rsidRPr="00A92746">
        <w:rPr>
          <w:rFonts w:cs="Calibri"/>
        </w:rPr>
        <w:t>Rs</w:t>
      </w:r>
      <w:proofErr w:type="spellEnd"/>
      <w:r w:rsidRPr="00A92746">
        <w:rPr>
          <w:rFonts w:cs="Calibri"/>
        </w:rPr>
        <w:t xml:space="preserve">. 20.13 billion (March 31, 2012) to </w:t>
      </w:r>
      <w:proofErr w:type="spellStart"/>
      <w:r w:rsidRPr="00A92746">
        <w:rPr>
          <w:rFonts w:cs="Calibri"/>
        </w:rPr>
        <w:t>Rs</w:t>
      </w:r>
      <w:proofErr w:type="spellEnd"/>
      <w:r w:rsidRPr="00A92746">
        <w:rPr>
          <w:rFonts w:cs="Calibri"/>
        </w:rPr>
        <w:t xml:space="preserve">. 18.36 billion (March 31, 2013); a 8.8 percent decrease over the year. The stock of NPLs as on December 31, 2012 was </w:t>
      </w:r>
      <w:proofErr w:type="spellStart"/>
      <w:r w:rsidRPr="00A92746">
        <w:rPr>
          <w:rFonts w:cs="Calibri"/>
        </w:rPr>
        <w:t>Rs</w:t>
      </w:r>
      <w:proofErr w:type="spellEnd"/>
      <w:r w:rsidRPr="00A92746">
        <w:rPr>
          <w:rFonts w:cs="Calibri"/>
        </w:rPr>
        <w:t>. 18.94 billion.</w:t>
      </w:r>
    </w:p>
    <w:p w:rsidR="00FD3D38" w:rsidRPr="00A92746" w:rsidRDefault="00FD3D38" w:rsidP="00F93C07">
      <w:pPr>
        <w:spacing w:after="0"/>
        <w:jc w:val="both"/>
        <w:rPr>
          <w:rFonts w:cs="Calibri"/>
        </w:rPr>
      </w:pPr>
    </w:p>
    <w:p w:rsidR="00FD3D38" w:rsidRDefault="00FD3D38" w:rsidP="00F93C07">
      <w:pPr>
        <w:jc w:val="both"/>
        <w:rPr>
          <w:rFonts w:cs="Calibri"/>
        </w:rPr>
      </w:pPr>
      <w:r w:rsidRPr="00A92746">
        <w:rPr>
          <w:rFonts w:cs="Calibri"/>
        </w:rPr>
        <w:t xml:space="preserve">Around 505 new borrowers were extended house finance during the quarter (Jan-Mar, 2013), accounting for </w:t>
      </w:r>
      <w:proofErr w:type="spellStart"/>
      <w:r w:rsidRPr="00A92746">
        <w:rPr>
          <w:rFonts w:cs="Calibri"/>
        </w:rPr>
        <w:t>Rs</w:t>
      </w:r>
      <w:proofErr w:type="spellEnd"/>
      <w:r w:rsidRPr="00A92746">
        <w:rPr>
          <w:rFonts w:cs="Calibri"/>
        </w:rPr>
        <w:t xml:space="preserve">. 2.3 billion of new disbursements. HBFCL accounted for 38.6 percent of these new borrowers and contributed 12.9 percent of the new disbursements equivalent to </w:t>
      </w:r>
      <w:proofErr w:type="spellStart"/>
      <w:r w:rsidRPr="00A92746">
        <w:rPr>
          <w:rFonts w:cs="Calibri"/>
        </w:rPr>
        <w:t>Rs</w:t>
      </w:r>
      <w:proofErr w:type="spellEnd"/>
      <w:r w:rsidRPr="00A92746">
        <w:rPr>
          <w:rFonts w:cs="Calibri"/>
        </w:rPr>
        <w:t>. 292 million.</w:t>
      </w:r>
    </w:p>
    <w:p w:rsidR="00FD3D38" w:rsidRDefault="00FD3D38" w:rsidP="00F93C07">
      <w:pPr>
        <w:jc w:val="both"/>
        <w:rPr>
          <w:rFonts w:cs="Calibri"/>
        </w:rPr>
      </w:pPr>
    </w:p>
    <w:p w:rsidR="00FD3D38" w:rsidRDefault="00FD3D38" w:rsidP="00F93C07">
      <w:pPr>
        <w:jc w:val="both"/>
        <w:rPr>
          <w:rFonts w:cs="Calibri"/>
        </w:rPr>
      </w:pPr>
    </w:p>
    <w:p w:rsidR="00FD3D38" w:rsidRPr="00A92746" w:rsidRDefault="00FD3D38" w:rsidP="00F93C07">
      <w:pPr>
        <w:jc w:val="both"/>
        <w:rPr>
          <w:rFonts w:cs="Calibri"/>
        </w:rPr>
      </w:pPr>
    </w:p>
    <w:p w:rsidR="00FD3D38" w:rsidRPr="005937FF" w:rsidRDefault="00FD3D38" w:rsidP="004D5647">
      <w:pPr>
        <w:jc w:val="both"/>
        <w:rPr>
          <w:b/>
          <w:sz w:val="28"/>
          <w:szCs w:val="28"/>
          <w:u w:val="single"/>
        </w:rPr>
      </w:pPr>
      <w:r w:rsidRPr="005937FF">
        <w:rPr>
          <w:b/>
          <w:sz w:val="28"/>
          <w:szCs w:val="28"/>
          <w:u w:val="single"/>
        </w:rPr>
        <w:lastRenderedPageBreak/>
        <w:t xml:space="preserve">Last 8 years Trend of Housing Finance Industry in </w:t>
      </w:r>
      <w:smartTag w:uri="urn:schemas-microsoft-com:office:smarttags" w:element="country-region">
        <w:smartTag w:uri="urn:schemas-microsoft-com:office:smarttags" w:element="place">
          <w:r w:rsidRPr="005937FF">
            <w:rPr>
              <w:b/>
              <w:sz w:val="28"/>
              <w:szCs w:val="28"/>
              <w:u w:val="single"/>
            </w:rPr>
            <w:t>Pakistan</w:t>
          </w:r>
        </w:smartTag>
      </w:smartTag>
    </w:p>
    <w:tbl>
      <w:tblPr>
        <w:tblW w:w="9080" w:type="dxa"/>
        <w:tblInd w:w="93" w:type="dxa"/>
        <w:tblLook w:val="0000" w:firstRow="0" w:lastRow="0" w:firstColumn="0" w:lastColumn="0" w:noHBand="0" w:noVBand="0"/>
      </w:tblPr>
      <w:tblGrid>
        <w:gridCol w:w="1135"/>
        <w:gridCol w:w="1135"/>
        <w:gridCol w:w="1135"/>
        <w:gridCol w:w="1135"/>
        <w:gridCol w:w="1135"/>
        <w:gridCol w:w="1135"/>
        <w:gridCol w:w="1135"/>
        <w:gridCol w:w="1135"/>
      </w:tblGrid>
      <w:tr w:rsidR="00FD3D38" w:rsidTr="00C56417">
        <w:trPr>
          <w:trHeight w:val="330"/>
        </w:trPr>
        <w:tc>
          <w:tcPr>
            <w:tcW w:w="9080" w:type="dxa"/>
            <w:gridSpan w:val="8"/>
            <w:tcBorders>
              <w:top w:val="single" w:sz="8" w:space="0" w:color="auto"/>
              <w:left w:val="single" w:sz="8" w:space="0" w:color="auto"/>
              <w:bottom w:val="single" w:sz="8" w:space="0" w:color="auto"/>
              <w:right w:val="single" w:sz="8" w:space="0" w:color="000000"/>
            </w:tcBorders>
            <w:noWrap/>
            <w:vAlign w:val="bottom"/>
          </w:tcPr>
          <w:p w:rsidR="00FD3D38" w:rsidRDefault="00FD3D38" w:rsidP="00C56417">
            <w:pPr>
              <w:jc w:val="center"/>
              <w:rPr>
                <w:rFonts w:ascii="Arial" w:hAnsi="Arial" w:cs="Arial"/>
                <w:b/>
                <w:bCs/>
              </w:rPr>
            </w:pPr>
            <w:r>
              <w:rPr>
                <w:rFonts w:ascii="Arial" w:hAnsi="Arial" w:cs="Arial"/>
                <w:b/>
                <w:bCs/>
              </w:rPr>
              <w:t>Overall Industry Gross Outstanding of Housing Finance  (In Billions)</w:t>
            </w:r>
          </w:p>
        </w:tc>
      </w:tr>
      <w:tr w:rsidR="00FD3D38" w:rsidTr="00C56417">
        <w:trPr>
          <w:trHeight w:val="270"/>
        </w:trPr>
        <w:tc>
          <w:tcPr>
            <w:tcW w:w="1135" w:type="dxa"/>
            <w:tcBorders>
              <w:top w:val="nil"/>
              <w:left w:val="single" w:sz="8" w:space="0" w:color="auto"/>
              <w:bottom w:val="single" w:sz="8" w:space="0" w:color="auto"/>
              <w:right w:val="single" w:sz="4" w:space="0" w:color="auto"/>
            </w:tcBorders>
            <w:shd w:val="clear" w:color="auto" w:fill="C0C0C0"/>
            <w:noWrap/>
            <w:vAlign w:val="bottom"/>
          </w:tcPr>
          <w:p w:rsidR="00FD3D38" w:rsidRDefault="00FD3D38" w:rsidP="00C56417">
            <w:pPr>
              <w:jc w:val="center"/>
              <w:rPr>
                <w:rFonts w:ascii="Arial" w:hAnsi="Arial" w:cs="Arial"/>
                <w:b/>
                <w:bCs/>
                <w:sz w:val="20"/>
                <w:szCs w:val="20"/>
              </w:rPr>
            </w:pPr>
            <w:r>
              <w:rPr>
                <w:rFonts w:ascii="Arial" w:hAnsi="Arial" w:cs="Arial"/>
                <w:b/>
                <w:bCs/>
                <w:sz w:val="20"/>
                <w:szCs w:val="20"/>
              </w:rPr>
              <w:t>2005</w:t>
            </w:r>
          </w:p>
        </w:tc>
        <w:tc>
          <w:tcPr>
            <w:tcW w:w="1135" w:type="dxa"/>
            <w:tcBorders>
              <w:top w:val="nil"/>
              <w:left w:val="nil"/>
              <w:bottom w:val="single" w:sz="8" w:space="0" w:color="auto"/>
              <w:right w:val="single" w:sz="4" w:space="0" w:color="auto"/>
            </w:tcBorders>
            <w:shd w:val="clear" w:color="auto" w:fill="C0C0C0"/>
            <w:noWrap/>
            <w:vAlign w:val="bottom"/>
          </w:tcPr>
          <w:p w:rsidR="00FD3D38" w:rsidRDefault="00FD3D38" w:rsidP="00C56417">
            <w:pPr>
              <w:jc w:val="center"/>
              <w:rPr>
                <w:rFonts w:ascii="Arial" w:hAnsi="Arial" w:cs="Arial"/>
                <w:b/>
                <w:bCs/>
                <w:sz w:val="20"/>
                <w:szCs w:val="20"/>
              </w:rPr>
            </w:pPr>
            <w:r>
              <w:rPr>
                <w:rFonts w:ascii="Arial" w:hAnsi="Arial" w:cs="Arial"/>
                <w:b/>
                <w:bCs/>
                <w:sz w:val="20"/>
                <w:szCs w:val="20"/>
              </w:rPr>
              <w:t>2006</w:t>
            </w:r>
          </w:p>
        </w:tc>
        <w:tc>
          <w:tcPr>
            <w:tcW w:w="1135" w:type="dxa"/>
            <w:tcBorders>
              <w:top w:val="nil"/>
              <w:left w:val="nil"/>
              <w:bottom w:val="single" w:sz="8" w:space="0" w:color="auto"/>
              <w:right w:val="single" w:sz="4" w:space="0" w:color="auto"/>
            </w:tcBorders>
            <w:shd w:val="clear" w:color="auto" w:fill="C0C0C0"/>
            <w:noWrap/>
            <w:vAlign w:val="bottom"/>
          </w:tcPr>
          <w:p w:rsidR="00FD3D38" w:rsidRDefault="00FD3D38" w:rsidP="00C56417">
            <w:pPr>
              <w:jc w:val="center"/>
              <w:rPr>
                <w:rFonts w:ascii="Arial" w:hAnsi="Arial" w:cs="Arial"/>
                <w:b/>
                <w:bCs/>
                <w:sz w:val="20"/>
                <w:szCs w:val="20"/>
              </w:rPr>
            </w:pPr>
            <w:r>
              <w:rPr>
                <w:rFonts w:ascii="Arial" w:hAnsi="Arial" w:cs="Arial"/>
                <w:b/>
                <w:bCs/>
                <w:sz w:val="20"/>
                <w:szCs w:val="20"/>
              </w:rPr>
              <w:t>2007</w:t>
            </w:r>
          </w:p>
        </w:tc>
        <w:tc>
          <w:tcPr>
            <w:tcW w:w="1135" w:type="dxa"/>
            <w:tcBorders>
              <w:top w:val="nil"/>
              <w:left w:val="nil"/>
              <w:bottom w:val="single" w:sz="8" w:space="0" w:color="auto"/>
              <w:right w:val="single" w:sz="4" w:space="0" w:color="auto"/>
            </w:tcBorders>
            <w:shd w:val="clear" w:color="auto" w:fill="C0C0C0"/>
            <w:noWrap/>
            <w:vAlign w:val="bottom"/>
          </w:tcPr>
          <w:p w:rsidR="00FD3D38" w:rsidRDefault="00FD3D38" w:rsidP="00C56417">
            <w:pPr>
              <w:jc w:val="center"/>
              <w:rPr>
                <w:rFonts w:ascii="Arial" w:hAnsi="Arial" w:cs="Arial"/>
                <w:b/>
                <w:bCs/>
                <w:sz w:val="20"/>
                <w:szCs w:val="20"/>
              </w:rPr>
            </w:pPr>
            <w:r>
              <w:rPr>
                <w:rFonts w:ascii="Arial" w:hAnsi="Arial" w:cs="Arial"/>
                <w:b/>
                <w:bCs/>
                <w:sz w:val="20"/>
                <w:szCs w:val="20"/>
              </w:rPr>
              <w:t>2008</w:t>
            </w:r>
          </w:p>
        </w:tc>
        <w:tc>
          <w:tcPr>
            <w:tcW w:w="1135" w:type="dxa"/>
            <w:tcBorders>
              <w:top w:val="nil"/>
              <w:left w:val="nil"/>
              <w:bottom w:val="single" w:sz="8" w:space="0" w:color="auto"/>
              <w:right w:val="single" w:sz="4" w:space="0" w:color="auto"/>
            </w:tcBorders>
            <w:shd w:val="clear" w:color="auto" w:fill="C0C0C0"/>
            <w:noWrap/>
            <w:vAlign w:val="bottom"/>
          </w:tcPr>
          <w:p w:rsidR="00FD3D38" w:rsidRDefault="00FD3D38" w:rsidP="00C56417">
            <w:pPr>
              <w:jc w:val="center"/>
              <w:rPr>
                <w:rFonts w:ascii="Arial" w:hAnsi="Arial" w:cs="Arial"/>
                <w:b/>
                <w:bCs/>
                <w:sz w:val="20"/>
                <w:szCs w:val="20"/>
              </w:rPr>
            </w:pPr>
            <w:r>
              <w:rPr>
                <w:rFonts w:ascii="Arial" w:hAnsi="Arial" w:cs="Arial"/>
                <w:b/>
                <w:bCs/>
                <w:sz w:val="20"/>
                <w:szCs w:val="20"/>
              </w:rPr>
              <w:t>2009</w:t>
            </w:r>
          </w:p>
        </w:tc>
        <w:tc>
          <w:tcPr>
            <w:tcW w:w="1135" w:type="dxa"/>
            <w:tcBorders>
              <w:top w:val="nil"/>
              <w:left w:val="nil"/>
              <w:bottom w:val="single" w:sz="8" w:space="0" w:color="auto"/>
              <w:right w:val="single" w:sz="4" w:space="0" w:color="auto"/>
            </w:tcBorders>
            <w:shd w:val="clear" w:color="auto" w:fill="C0C0C0"/>
            <w:noWrap/>
            <w:vAlign w:val="bottom"/>
          </w:tcPr>
          <w:p w:rsidR="00FD3D38" w:rsidRDefault="00FD3D38" w:rsidP="00C56417">
            <w:pPr>
              <w:jc w:val="center"/>
              <w:rPr>
                <w:rFonts w:ascii="Arial" w:hAnsi="Arial" w:cs="Arial"/>
                <w:b/>
                <w:bCs/>
                <w:sz w:val="20"/>
                <w:szCs w:val="20"/>
              </w:rPr>
            </w:pPr>
            <w:r>
              <w:rPr>
                <w:rFonts w:ascii="Arial" w:hAnsi="Arial" w:cs="Arial"/>
                <w:b/>
                <w:bCs/>
                <w:sz w:val="20"/>
                <w:szCs w:val="20"/>
              </w:rPr>
              <w:t>2010</w:t>
            </w:r>
          </w:p>
        </w:tc>
        <w:tc>
          <w:tcPr>
            <w:tcW w:w="1135" w:type="dxa"/>
            <w:tcBorders>
              <w:top w:val="nil"/>
              <w:left w:val="nil"/>
              <w:bottom w:val="single" w:sz="8" w:space="0" w:color="auto"/>
              <w:right w:val="nil"/>
            </w:tcBorders>
            <w:shd w:val="clear" w:color="auto" w:fill="C0C0C0"/>
            <w:noWrap/>
            <w:vAlign w:val="bottom"/>
          </w:tcPr>
          <w:p w:rsidR="00FD3D38" w:rsidRDefault="00FD3D38" w:rsidP="00C56417">
            <w:pPr>
              <w:jc w:val="center"/>
              <w:rPr>
                <w:rFonts w:ascii="Arial" w:hAnsi="Arial" w:cs="Arial"/>
                <w:b/>
                <w:bCs/>
                <w:sz w:val="20"/>
                <w:szCs w:val="20"/>
              </w:rPr>
            </w:pPr>
            <w:r>
              <w:rPr>
                <w:rFonts w:ascii="Arial" w:hAnsi="Arial" w:cs="Arial"/>
                <w:b/>
                <w:bCs/>
                <w:sz w:val="20"/>
                <w:szCs w:val="20"/>
              </w:rPr>
              <w:t>2011</w:t>
            </w:r>
          </w:p>
        </w:tc>
        <w:tc>
          <w:tcPr>
            <w:tcW w:w="1135" w:type="dxa"/>
            <w:tcBorders>
              <w:top w:val="nil"/>
              <w:left w:val="single" w:sz="4" w:space="0" w:color="auto"/>
              <w:bottom w:val="single" w:sz="8" w:space="0" w:color="auto"/>
              <w:right w:val="single" w:sz="8" w:space="0" w:color="auto"/>
            </w:tcBorders>
            <w:shd w:val="clear" w:color="auto" w:fill="C0C0C0"/>
            <w:noWrap/>
            <w:vAlign w:val="bottom"/>
          </w:tcPr>
          <w:p w:rsidR="00FD3D38" w:rsidRDefault="00FD3D38" w:rsidP="00C56417">
            <w:pPr>
              <w:jc w:val="center"/>
              <w:rPr>
                <w:rFonts w:ascii="Arial" w:hAnsi="Arial" w:cs="Arial"/>
                <w:b/>
                <w:bCs/>
                <w:sz w:val="20"/>
                <w:szCs w:val="20"/>
              </w:rPr>
            </w:pPr>
            <w:r>
              <w:rPr>
                <w:rFonts w:ascii="Arial" w:hAnsi="Arial" w:cs="Arial"/>
                <w:b/>
                <w:bCs/>
                <w:sz w:val="20"/>
                <w:szCs w:val="20"/>
              </w:rPr>
              <w:t>2012</w:t>
            </w:r>
          </w:p>
        </w:tc>
      </w:tr>
      <w:tr w:rsidR="00FD3D38" w:rsidTr="00C56417">
        <w:trPr>
          <w:trHeight w:val="585"/>
        </w:trPr>
        <w:tc>
          <w:tcPr>
            <w:tcW w:w="1135" w:type="dxa"/>
            <w:tcBorders>
              <w:top w:val="nil"/>
              <w:left w:val="single" w:sz="8" w:space="0" w:color="auto"/>
              <w:bottom w:val="single" w:sz="8" w:space="0" w:color="auto"/>
              <w:right w:val="single" w:sz="4" w:space="0" w:color="auto"/>
            </w:tcBorders>
            <w:noWrap/>
            <w:vAlign w:val="bottom"/>
          </w:tcPr>
          <w:p w:rsidR="00FD3D38" w:rsidRDefault="00FD3D38" w:rsidP="00C56417">
            <w:pPr>
              <w:jc w:val="center"/>
              <w:rPr>
                <w:rFonts w:ascii="Arial" w:hAnsi="Arial" w:cs="Arial"/>
                <w:b/>
                <w:bCs/>
              </w:rPr>
            </w:pPr>
            <w:r>
              <w:rPr>
                <w:rFonts w:ascii="Arial" w:hAnsi="Arial" w:cs="Arial"/>
                <w:b/>
                <w:bCs/>
              </w:rPr>
              <w:t>55</w:t>
            </w:r>
          </w:p>
        </w:tc>
        <w:tc>
          <w:tcPr>
            <w:tcW w:w="1135" w:type="dxa"/>
            <w:tcBorders>
              <w:top w:val="nil"/>
              <w:left w:val="nil"/>
              <w:bottom w:val="single" w:sz="8" w:space="0" w:color="auto"/>
              <w:right w:val="single" w:sz="4" w:space="0" w:color="auto"/>
            </w:tcBorders>
            <w:noWrap/>
            <w:vAlign w:val="bottom"/>
          </w:tcPr>
          <w:p w:rsidR="00FD3D38" w:rsidRDefault="00FD3D38" w:rsidP="00C56417">
            <w:pPr>
              <w:jc w:val="center"/>
              <w:rPr>
                <w:rFonts w:ascii="Arial" w:hAnsi="Arial" w:cs="Arial"/>
                <w:b/>
                <w:bCs/>
              </w:rPr>
            </w:pPr>
            <w:r>
              <w:rPr>
                <w:rFonts w:ascii="Arial" w:hAnsi="Arial" w:cs="Arial"/>
                <w:b/>
                <w:bCs/>
              </w:rPr>
              <w:t>62</w:t>
            </w:r>
          </w:p>
        </w:tc>
        <w:tc>
          <w:tcPr>
            <w:tcW w:w="1135" w:type="dxa"/>
            <w:tcBorders>
              <w:top w:val="nil"/>
              <w:left w:val="nil"/>
              <w:bottom w:val="single" w:sz="8" w:space="0" w:color="auto"/>
              <w:right w:val="single" w:sz="4" w:space="0" w:color="auto"/>
            </w:tcBorders>
            <w:noWrap/>
            <w:vAlign w:val="bottom"/>
          </w:tcPr>
          <w:p w:rsidR="00FD3D38" w:rsidRDefault="00FD3D38" w:rsidP="00C56417">
            <w:pPr>
              <w:jc w:val="center"/>
              <w:rPr>
                <w:rFonts w:ascii="Arial" w:hAnsi="Arial" w:cs="Arial"/>
                <w:b/>
                <w:bCs/>
              </w:rPr>
            </w:pPr>
            <w:r>
              <w:rPr>
                <w:rFonts w:ascii="Arial" w:hAnsi="Arial" w:cs="Arial"/>
                <w:b/>
                <w:bCs/>
              </w:rPr>
              <w:t>76</w:t>
            </w:r>
          </w:p>
        </w:tc>
        <w:tc>
          <w:tcPr>
            <w:tcW w:w="1135" w:type="dxa"/>
            <w:tcBorders>
              <w:top w:val="nil"/>
              <w:left w:val="nil"/>
              <w:bottom w:val="single" w:sz="8" w:space="0" w:color="auto"/>
              <w:right w:val="single" w:sz="4" w:space="0" w:color="auto"/>
            </w:tcBorders>
            <w:noWrap/>
            <w:vAlign w:val="bottom"/>
          </w:tcPr>
          <w:p w:rsidR="00FD3D38" w:rsidRDefault="00FD3D38" w:rsidP="00C56417">
            <w:pPr>
              <w:jc w:val="center"/>
              <w:rPr>
                <w:rFonts w:ascii="Arial" w:hAnsi="Arial" w:cs="Arial"/>
                <w:b/>
                <w:bCs/>
              </w:rPr>
            </w:pPr>
            <w:r>
              <w:rPr>
                <w:rFonts w:ascii="Arial" w:hAnsi="Arial" w:cs="Arial"/>
                <w:b/>
                <w:bCs/>
              </w:rPr>
              <w:t>84</w:t>
            </w:r>
          </w:p>
        </w:tc>
        <w:tc>
          <w:tcPr>
            <w:tcW w:w="1135" w:type="dxa"/>
            <w:tcBorders>
              <w:top w:val="nil"/>
              <w:left w:val="nil"/>
              <w:bottom w:val="single" w:sz="8" w:space="0" w:color="auto"/>
              <w:right w:val="single" w:sz="4" w:space="0" w:color="auto"/>
            </w:tcBorders>
            <w:noWrap/>
            <w:vAlign w:val="bottom"/>
          </w:tcPr>
          <w:p w:rsidR="00FD3D38" w:rsidRDefault="00FD3D38" w:rsidP="00C56417">
            <w:pPr>
              <w:jc w:val="center"/>
              <w:rPr>
                <w:rFonts w:ascii="Arial" w:hAnsi="Arial" w:cs="Arial"/>
                <w:b/>
                <w:bCs/>
              </w:rPr>
            </w:pPr>
            <w:r>
              <w:rPr>
                <w:rFonts w:ascii="Arial" w:hAnsi="Arial" w:cs="Arial"/>
                <w:b/>
                <w:bCs/>
              </w:rPr>
              <w:t>77</w:t>
            </w:r>
          </w:p>
        </w:tc>
        <w:tc>
          <w:tcPr>
            <w:tcW w:w="1135" w:type="dxa"/>
            <w:tcBorders>
              <w:top w:val="nil"/>
              <w:left w:val="nil"/>
              <w:bottom w:val="single" w:sz="8" w:space="0" w:color="auto"/>
              <w:right w:val="single" w:sz="4" w:space="0" w:color="auto"/>
            </w:tcBorders>
            <w:noWrap/>
            <w:vAlign w:val="bottom"/>
          </w:tcPr>
          <w:p w:rsidR="00FD3D38" w:rsidRDefault="00FD3D38" w:rsidP="00C56417">
            <w:pPr>
              <w:jc w:val="center"/>
              <w:rPr>
                <w:rFonts w:ascii="Arial" w:hAnsi="Arial" w:cs="Arial"/>
                <w:b/>
                <w:bCs/>
              </w:rPr>
            </w:pPr>
            <w:r>
              <w:rPr>
                <w:rFonts w:ascii="Arial" w:hAnsi="Arial" w:cs="Arial"/>
                <w:b/>
                <w:bCs/>
              </w:rPr>
              <w:t>67</w:t>
            </w:r>
          </w:p>
        </w:tc>
        <w:tc>
          <w:tcPr>
            <w:tcW w:w="1135" w:type="dxa"/>
            <w:tcBorders>
              <w:top w:val="nil"/>
              <w:left w:val="nil"/>
              <w:bottom w:val="single" w:sz="8" w:space="0" w:color="auto"/>
              <w:right w:val="single" w:sz="4" w:space="0" w:color="auto"/>
            </w:tcBorders>
            <w:noWrap/>
            <w:vAlign w:val="bottom"/>
          </w:tcPr>
          <w:p w:rsidR="00FD3D38" w:rsidRDefault="00FD3D38" w:rsidP="00C56417">
            <w:pPr>
              <w:jc w:val="center"/>
              <w:rPr>
                <w:rFonts w:ascii="Arial" w:hAnsi="Arial" w:cs="Arial"/>
                <w:b/>
                <w:bCs/>
              </w:rPr>
            </w:pPr>
            <w:r>
              <w:rPr>
                <w:rFonts w:ascii="Arial" w:hAnsi="Arial" w:cs="Arial"/>
                <w:b/>
                <w:bCs/>
              </w:rPr>
              <w:t>59</w:t>
            </w:r>
          </w:p>
        </w:tc>
        <w:tc>
          <w:tcPr>
            <w:tcW w:w="1135" w:type="dxa"/>
            <w:tcBorders>
              <w:top w:val="nil"/>
              <w:left w:val="nil"/>
              <w:bottom w:val="single" w:sz="8" w:space="0" w:color="auto"/>
              <w:right w:val="single" w:sz="8" w:space="0" w:color="auto"/>
            </w:tcBorders>
            <w:noWrap/>
            <w:vAlign w:val="bottom"/>
          </w:tcPr>
          <w:p w:rsidR="00FD3D38" w:rsidRDefault="00FD3D38" w:rsidP="00C56417">
            <w:pPr>
              <w:jc w:val="center"/>
              <w:rPr>
                <w:rFonts w:ascii="Arial" w:hAnsi="Arial" w:cs="Arial"/>
                <w:b/>
                <w:bCs/>
              </w:rPr>
            </w:pPr>
            <w:r>
              <w:rPr>
                <w:rFonts w:ascii="Arial" w:hAnsi="Arial" w:cs="Arial"/>
                <w:b/>
                <w:bCs/>
              </w:rPr>
              <w:t>55</w:t>
            </w:r>
          </w:p>
        </w:tc>
      </w:tr>
      <w:tr w:rsidR="00FD3D38" w:rsidTr="00C56417">
        <w:trPr>
          <w:trHeight w:val="435"/>
        </w:trPr>
        <w:tc>
          <w:tcPr>
            <w:tcW w:w="9080" w:type="dxa"/>
            <w:gridSpan w:val="8"/>
            <w:tcBorders>
              <w:top w:val="single" w:sz="8" w:space="0" w:color="auto"/>
              <w:left w:val="single" w:sz="8" w:space="0" w:color="auto"/>
              <w:bottom w:val="single" w:sz="8" w:space="0" w:color="auto"/>
              <w:right w:val="single" w:sz="8" w:space="0" w:color="000000"/>
            </w:tcBorders>
            <w:noWrap/>
            <w:vAlign w:val="bottom"/>
          </w:tcPr>
          <w:p w:rsidR="00FD3D38" w:rsidRDefault="00FD3D38" w:rsidP="00C56417">
            <w:pPr>
              <w:jc w:val="center"/>
              <w:rPr>
                <w:rFonts w:ascii="Arial" w:hAnsi="Arial" w:cs="Arial"/>
                <w:b/>
                <w:bCs/>
              </w:rPr>
            </w:pPr>
          </w:p>
          <w:p w:rsidR="00FD3D38" w:rsidRDefault="00FD3D38" w:rsidP="00C56417">
            <w:pPr>
              <w:jc w:val="center"/>
              <w:rPr>
                <w:rFonts w:ascii="Arial" w:hAnsi="Arial" w:cs="Arial"/>
                <w:b/>
                <w:bCs/>
              </w:rPr>
            </w:pPr>
            <w:r>
              <w:rPr>
                <w:rFonts w:ascii="Arial" w:hAnsi="Arial" w:cs="Arial"/>
                <w:b/>
                <w:bCs/>
              </w:rPr>
              <w:t>Annual Disbursement of Housing Finance (In Billions)</w:t>
            </w:r>
          </w:p>
        </w:tc>
      </w:tr>
      <w:tr w:rsidR="00FD3D38" w:rsidTr="00C56417">
        <w:trPr>
          <w:trHeight w:val="270"/>
        </w:trPr>
        <w:tc>
          <w:tcPr>
            <w:tcW w:w="1135" w:type="dxa"/>
            <w:tcBorders>
              <w:top w:val="nil"/>
              <w:left w:val="single" w:sz="8" w:space="0" w:color="auto"/>
              <w:bottom w:val="single" w:sz="8" w:space="0" w:color="auto"/>
              <w:right w:val="single" w:sz="4" w:space="0" w:color="auto"/>
            </w:tcBorders>
            <w:shd w:val="clear" w:color="auto" w:fill="C0C0C0"/>
            <w:noWrap/>
            <w:vAlign w:val="bottom"/>
          </w:tcPr>
          <w:p w:rsidR="00FD3D38" w:rsidRDefault="00FD3D38" w:rsidP="00C56417">
            <w:pPr>
              <w:jc w:val="center"/>
              <w:rPr>
                <w:rFonts w:ascii="Arial" w:hAnsi="Arial" w:cs="Arial"/>
                <w:b/>
                <w:bCs/>
                <w:sz w:val="20"/>
                <w:szCs w:val="20"/>
              </w:rPr>
            </w:pPr>
            <w:r>
              <w:rPr>
                <w:rFonts w:ascii="Arial" w:hAnsi="Arial" w:cs="Arial"/>
                <w:b/>
                <w:bCs/>
                <w:sz w:val="20"/>
                <w:szCs w:val="20"/>
              </w:rPr>
              <w:t>2005</w:t>
            </w:r>
          </w:p>
        </w:tc>
        <w:tc>
          <w:tcPr>
            <w:tcW w:w="1135" w:type="dxa"/>
            <w:tcBorders>
              <w:top w:val="nil"/>
              <w:left w:val="nil"/>
              <w:bottom w:val="single" w:sz="8" w:space="0" w:color="auto"/>
              <w:right w:val="single" w:sz="4" w:space="0" w:color="auto"/>
            </w:tcBorders>
            <w:shd w:val="clear" w:color="auto" w:fill="C0C0C0"/>
            <w:noWrap/>
            <w:vAlign w:val="bottom"/>
          </w:tcPr>
          <w:p w:rsidR="00FD3D38" w:rsidRDefault="00FD3D38" w:rsidP="00C56417">
            <w:pPr>
              <w:jc w:val="center"/>
              <w:rPr>
                <w:rFonts w:ascii="Arial" w:hAnsi="Arial" w:cs="Arial"/>
                <w:b/>
                <w:bCs/>
                <w:sz w:val="20"/>
                <w:szCs w:val="20"/>
              </w:rPr>
            </w:pPr>
            <w:r>
              <w:rPr>
                <w:rFonts w:ascii="Arial" w:hAnsi="Arial" w:cs="Arial"/>
                <w:b/>
                <w:bCs/>
                <w:sz w:val="20"/>
                <w:szCs w:val="20"/>
              </w:rPr>
              <w:t>2006</w:t>
            </w:r>
          </w:p>
        </w:tc>
        <w:tc>
          <w:tcPr>
            <w:tcW w:w="1135" w:type="dxa"/>
            <w:tcBorders>
              <w:top w:val="nil"/>
              <w:left w:val="nil"/>
              <w:bottom w:val="single" w:sz="8" w:space="0" w:color="auto"/>
              <w:right w:val="single" w:sz="4" w:space="0" w:color="auto"/>
            </w:tcBorders>
            <w:shd w:val="clear" w:color="auto" w:fill="C0C0C0"/>
            <w:noWrap/>
            <w:vAlign w:val="bottom"/>
          </w:tcPr>
          <w:p w:rsidR="00FD3D38" w:rsidRDefault="00FD3D38" w:rsidP="00C56417">
            <w:pPr>
              <w:jc w:val="center"/>
              <w:rPr>
                <w:rFonts w:ascii="Arial" w:hAnsi="Arial" w:cs="Arial"/>
                <w:b/>
                <w:bCs/>
                <w:sz w:val="20"/>
                <w:szCs w:val="20"/>
              </w:rPr>
            </w:pPr>
            <w:r>
              <w:rPr>
                <w:rFonts w:ascii="Arial" w:hAnsi="Arial" w:cs="Arial"/>
                <w:b/>
                <w:bCs/>
                <w:sz w:val="20"/>
                <w:szCs w:val="20"/>
              </w:rPr>
              <w:t>2007</w:t>
            </w:r>
          </w:p>
        </w:tc>
        <w:tc>
          <w:tcPr>
            <w:tcW w:w="1135" w:type="dxa"/>
            <w:tcBorders>
              <w:top w:val="nil"/>
              <w:left w:val="nil"/>
              <w:bottom w:val="single" w:sz="8" w:space="0" w:color="auto"/>
              <w:right w:val="single" w:sz="4" w:space="0" w:color="auto"/>
            </w:tcBorders>
            <w:shd w:val="clear" w:color="auto" w:fill="C0C0C0"/>
            <w:noWrap/>
            <w:vAlign w:val="bottom"/>
          </w:tcPr>
          <w:p w:rsidR="00FD3D38" w:rsidRDefault="00FD3D38" w:rsidP="00C56417">
            <w:pPr>
              <w:jc w:val="center"/>
              <w:rPr>
                <w:rFonts w:ascii="Arial" w:hAnsi="Arial" w:cs="Arial"/>
                <w:b/>
                <w:bCs/>
                <w:sz w:val="20"/>
                <w:szCs w:val="20"/>
              </w:rPr>
            </w:pPr>
            <w:r>
              <w:rPr>
                <w:rFonts w:ascii="Arial" w:hAnsi="Arial" w:cs="Arial"/>
                <w:b/>
                <w:bCs/>
                <w:sz w:val="20"/>
                <w:szCs w:val="20"/>
              </w:rPr>
              <w:t>2008</w:t>
            </w:r>
          </w:p>
        </w:tc>
        <w:tc>
          <w:tcPr>
            <w:tcW w:w="1135" w:type="dxa"/>
            <w:tcBorders>
              <w:top w:val="nil"/>
              <w:left w:val="nil"/>
              <w:bottom w:val="single" w:sz="8" w:space="0" w:color="auto"/>
              <w:right w:val="single" w:sz="4" w:space="0" w:color="auto"/>
            </w:tcBorders>
            <w:shd w:val="clear" w:color="auto" w:fill="C0C0C0"/>
            <w:noWrap/>
            <w:vAlign w:val="bottom"/>
          </w:tcPr>
          <w:p w:rsidR="00FD3D38" w:rsidRDefault="00FD3D38" w:rsidP="00C56417">
            <w:pPr>
              <w:jc w:val="center"/>
              <w:rPr>
                <w:rFonts w:ascii="Arial" w:hAnsi="Arial" w:cs="Arial"/>
                <w:b/>
                <w:bCs/>
                <w:sz w:val="20"/>
                <w:szCs w:val="20"/>
              </w:rPr>
            </w:pPr>
            <w:r>
              <w:rPr>
                <w:rFonts w:ascii="Arial" w:hAnsi="Arial" w:cs="Arial"/>
                <w:b/>
                <w:bCs/>
                <w:sz w:val="20"/>
                <w:szCs w:val="20"/>
              </w:rPr>
              <w:t>2009</w:t>
            </w:r>
          </w:p>
        </w:tc>
        <w:tc>
          <w:tcPr>
            <w:tcW w:w="1135" w:type="dxa"/>
            <w:tcBorders>
              <w:top w:val="nil"/>
              <w:left w:val="nil"/>
              <w:bottom w:val="single" w:sz="8" w:space="0" w:color="auto"/>
              <w:right w:val="single" w:sz="4" w:space="0" w:color="auto"/>
            </w:tcBorders>
            <w:shd w:val="clear" w:color="auto" w:fill="C0C0C0"/>
            <w:noWrap/>
            <w:vAlign w:val="bottom"/>
          </w:tcPr>
          <w:p w:rsidR="00FD3D38" w:rsidRDefault="00FD3D38" w:rsidP="00C56417">
            <w:pPr>
              <w:jc w:val="center"/>
              <w:rPr>
                <w:rFonts w:ascii="Arial" w:hAnsi="Arial" w:cs="Arial"/>
                <w:b/>
                <w:bCs/>
                <w:sz w:val="20"/>
                <w:szCs w:val="20"/>
              </w:rPr>
            </w:pPr>
            <w:r>
              <w:rPr>
                <w:rFonts w:ascii="Arial" w:hAnsi="Arial" w:cs="Arial"/>
                <w:b/>
                <w:bCs/>
                <w:sz w:val="20"/>
                <w:szCs w:val="20"/>
              </w:rPr>
              <w:t>2010</w:t>
            </w:r>
          </w:p>
        </w:tc>
        <w:tc>
          <w:tcPr>
            <w:tcW w:w="1135" w:type="dxa"/>
            <w:tcBorders>
              <w:top w:val="nil"/>
              <w:left w:val="nil"/>
              <w:bottom w:val="single" w:sz="8" w:space="0" w:color="auto"/>
              <w:right w:val="nil"/>
            </w:tcBorders>
            <w:shd w:val="clear" w:color="auto" w:fill="C0C0C0"/>
            <w:noWrap/>
            <w:vAlign w:val="bottom"/>
          </w:tcPr>
          <w:p w:rsidR="00FD3D38" w:rsidRDefault="00FD3D38" w:rsidP="00C56417">
            <w:pPr>
              <w:jc w:val="center"/>
              <w:rPr>
                <w:rFonts w:ascii="Arial" w:hAnsi="Arial" w:cs="Arial"/>
                <w:b/>
                <w:bCs/>
                <w:sz w:val="20"/>
                <w:szCs w:val="20"/>
              </w:rPr>
            </w:pPr>
            <w:r>
              <w:rPr>
                <w:rFonts w:ascii="Arial" w:hAnsi="Arial" w:cs="Arial"/>
                <w:b/>
                <w:bCs/>
                <w:sz w:val="20"/>
                <w:szCs w:val="20"/>
              </w:rPr>
              <w:t>2011</w:t>
            </w:r>
          </w:p>
        </w:tc>
        <w:tc>
          <w:tcPr>
            <w:tcW w:w="1135" w:type="dxa"/>
            <w:tcBorders>
              <w:top w:val="nil"/>
              <w:left w:val="single" w:sz="4" w:space="0" w:color="auto"/>
              <w:bottom w:val="single" w:sz="8" w:space="0" w:color="auto"/>
              <w:right w:val="single" w:sz="8" w:space="0" w:color="auto"/>
            </w:tcBorders>
            <w:shd w:val="clear" w:color="auto" w:fill="C0C0C0"/>
            <w:noWrap/>
            <w:vAlign w:val="bottom"/>
          </w:tcPr>
          <w:p w:rsidR="00FD3D38" w:rsidRDefault="00FD3D38" w:rsidP="00C56417">
            <w:pPr>
              <w:jc w:val="center"/>
              <w:rPr>
                <w:rFonts w:ascii="Arial" w:hAnsi="Arial" w:cs="Arial"/>
                <w:b/>
                <w:bCs/>
                <w:sz w:val="20"/>
                <w:szCs w:val="20"/>
              </w:rPr>
            </w:pPr>
            <w:r>
              <w:rPr>
                <w:rFonts w:ascii="Arial" w:hAnsi="Arial" w:cs="Arial"/>
                <w:b/>
                <w:bCs/>
                <w:sz w:val="20"/>
                <w:szCs w:val="20"/>
              </w:rPr>
              <w:t>2012</w:t>
            </w:r>
          </w:p>
        </w:tc>
      </w:tr>
      <w:tr w:rsidR="00FD3D38" w:rsidTr="00C56417">
        <w:trPr>
          <w:trHeight w:val="705"/>
        </w:trPr>
        <w:tc>
          <w:tcPr>
            <w:tcW w:w="1135" w:type="dxa"/>
            <w:tcBorders>
              <w:top w:val="nil"/>
              <w:left w:val="single" w:sz="8" w:space="0" w:color="auto"/>
              <w:bottom w:val="single" w:sz="8" w:space="0" w:color="auto"/>
              <w:right w:val="single" w:sz="4" w:space="0" w:color="auto"/>
            </w:tcBorders>
            <w:noWrap/>
            <w:vAlign w:val="bottom"/>
          </w:tcPr>
          <w:p w:rsidR="00FD3D38" w:rsidRDefault="00FD3D38" w:rsidP="00C56417">
            <w:pPr>
              <w:jc w:val="center"/>
              <w:rPr>
                <w:rFonts w:ascii="Arial" w:hAnsi="Arial" w:cs="Arial"/>
                <w:b/>
                <w:bCs/>
              </w:rPr>
            </w:pPr>
            <w:r>
              <w:rPr>
                <w:rFonts w:ascii="Arial" w:hAnsi="Arial" w:cs="Arial"/>
                <w:b/>
                <w:bCs/>
              </w:rPr>
              <w:t>26</w:t>
            </w:r>
          </w:p>
        </w:tc>
        <w:tc>
          <w:tcPr>
            <w:tcW w:w="1135" w:type="dxa"/>
            <w:tcBorders>
              <w:top w:val="nil"/>
              <w:left w:val="single" w:sz="8" w:space="0" w:color="auto"/>
              <w:bottom w:val="single" w:sz="8" w:space="0" w:color="auto"/>
              <w:right w:val="single" w:sz="4" w:space="0" w:color="auto"/>
            </w:tcBorders>
            <w:noWrap/>
            <w:vAlign w:val="bottom"/>
          </w:tcPr>
          <w:p w:rsidR="00FD3D38" w:rsidRDefault="00FD3D38" w:rsidP="00C56417">
            <w:pPr>
              <w:jc w:val="center"/>
              <w:rPr>
                <w:rFonts w:ascii="Arial" w:hAnsi="Arial" w:cs="Arial"/>
                <w:b/>
                <w:bCs/>
              </w:rPr>
            </w:pPr>
            <w:r>
              <w:rPr>
                <w:rFonts w:ascii="Arial" w:hAnsi="Arial" w:cs="Arial"/>
                <w:b/>
                <w:bCs/>
              </w:rPr>
              <w:t>24</w:t>
            </w:r>
          </w:p>
        </w:tc>
        <w:tc>
          <w:tcPr>
            <w:tcW w:w="1135" w:type="dxa"/>
            <w:tcBorders>
              <w:top w:val="nil"/>
              <w:left w:val="single" w:sz="8" w:space="0" w:color="auto"/>
              <w:bottom w:val="single" w:sz="8" w:space="0" w:color="auto"/>
              <w:right w:val="single" w:sz="4" w:space="0" w:color="auto"/>
            </w:tcBorders>
            <w:noWrap/>
            <w:vAlign w:val="bottom"/>
          </w:tcPr>
          <w:p w:rsidR="00FD3D38" w:rsidRDefault="00FD3D38" w:rsidP="00C56417">
            <w:pPr>
              <w:jc w:val="center"/>
              <w:rPr>
                <w:rFonts w:ascii="Arial" w:hAnsi="Arial" w:cs="Arial"/>
                <w:b/>
                <w:bCs/>
              </w:rPr>
            </w:pPr>
            <w:r>
              <w:rPr>
                <w:rFonts w:ascii="Arial" w:hAnsi="Arial" w:cs="Arial"/>
                <w:b/>
                <w:bCs/>
              </w:rPr>
              <w:t>23</w:t>
            </w:r>
          </w:p>
        </w:tc>
        <w:tc>
          <w:tcPr>
            <w:tcW w:w="1135" w:type="dxa"/>
            <w:tcBorders>
              <w:top w:val="nil"/>
              <w:left w:val="single" w:sz="8" w:space="0" w:color="auto"/>
              <w:bottom w:val="single" w:sz="8" w:space="0" w:color="auto"/>
              <w:right w:val="single" w:sz="4" w:space="0" w:color="auto"/>
            </w:tcBorders>
            <w:noWrap/>
            <w:vAlign w:val="bottom"/>
          </w:tcPr>
          <w:p w:rsidR="00FD3D38" w:rsidRDefault="00FD3D38" w:rsidP="00C56417">
            <w:pPr>
              <w:jc w:val="center"/>
              <w:rPr>
                <w:rFonts w:ascii="Arial" w:hAnsi="Arial" w:cs="Arial"/>
                <w:b/>
                <w:bCs/>
              </w:rPr>
            </w:pPr>
            <w:r>
              <w:rPr>
                <w:rFonts w:ascii="Arial" w:hAnsi="Arial" w:cs="Arial"/>
                <w:b/>
                <w:bCs/>
              </w:rPr>
              <w:t>27</w:t>
            </w:r>
          </w:p>
        </w:tc>
        <w:tc>
          <w:tcPr>
            <w:tcW w:w="1135" w:type="dxa"/>
            <w:tcBorders>
              <w:top w:val="nil"/>
              <w:left w:val="single" w:sz="8" w:space="0" w:color="auto"/>
              <w:bottom w:val="single" w:sz="8" w:space="0" w:color="auto"/>
              <w:right w:val="single" w:sz="4" w:space="0" w:color="auto"/>
            </w:tcBorders>
            <w:noWrap/>
            <w:vAlign w:val="bottom"/>
          </w:tcPr>
          <w:p w:rsidR="00FD3D38" w:rsidRDefault="00FD3D38" w:rsidP="00C56417">
            <w:pPr>
              <w:jc w:val="center"/>
              <w:rPr>
                <w:rFonts w:ascii="Arial" w:hAnsi="Arial" w:cs="Arial"/>
                <w:b/>
                <w:bCs/>
              </w:rPr>
            </w:pPr>
            <w:r>
              <w:rPr>
                <w:rFonts w:ascii="Arial" w:hAnsi="Arial" w:cs="Arial"/>
                <w:b/>
                <w:bCs/>
              </w:rPr>
              <w:t>8</w:t>
            </w:r>
          </w:p>
        </w:tc>
        <w:tc>
          <w:tcPr>
            <w:tcW w:w="1135" w:type="dxa"/>
            <w:tcBorders>
              <w:top w:val="nil"/>
              <w:left w:val="single" w:sz="8" w:space="0" w:color="auto"/>
              <w:bottom w:val="single" w:sz="8" w:space="0" w:color="auto"/>
              <w:right w:val="single" w:sz="4" w:space="0" w:color="auto"/>
            </w:tcBorders>
            <w:noWrap/>
            <w:vAlign w:val="bottom"/>
          </w:tcPr>
          <w:p w:rsidR="00FD3D38" w:rsidRDefault="00FD3D38" w:rsidP="00C56417">
            <w:pPr>
              <w:jc w:val="center"/>
              <w:rPr>
                <w:rFonts w:ascii="Arial" w:hAnsi="Arial" w:cs="Arial"/>
                <w:b/>
                <w:bCs/>
              </w:rPr>
            </w:pPr>
            <w:r>
              <w:rPr>
                <w:rFonts w:ascii="Arial" w:hAnsi="Arial" w:cs="Arial"/>
                <w:b/>
                <w:bCs/>
              </w:rPr>
              <w:t>8</w:t>
            </w:r>
          </w:p>
        </w:tc>
        <w:tc>
          <w:tcPr>
            <w:tcW w:w="1135" w:type="dxa"/>
            <w:tcBorders>
              <w:top w:val="nil"/>
              <w:left w:val="single" w:sz="8" w:space="0" w:color="auto"/>
              <w:bottom w:val="single" w:sz="8" w:space="0" w:color="auto"/>
              <w:right w:val="single" w:sz="4" w:space="0" w:color="auto"/>
            </w:tcBorders>
            <w:noWrap/>
            <w:vAlign w:val="bottom"/>
          </w:tcPr>
          <w:p w:rsidR="00FD3D38" w:rsidRDefault="00FD3D38" w:rsidP="00C56417">
            <w:pPr>
              <w:jc w:val="center"/>
              <w:rPr>
                <w:rFonts w:ascii="Arial" w:hAnsi="Arial" w:cs="Arial"/>
                <w:b/>
                <w:bCs/>
              </w:rPr>
            </w:pPr>
            <w:r>
              <w:rPr>
                <w:rFonts w:ascii="Arial" w:hAnsi="Arial" w:cs="Arial"/>
                <w:b/>
                <w:bCs/>
              </w:rPr>
              <w:t>8</w:t>
            </w:r>
          </w:p>
        </w:tc>
        <w:tc>
          <w:tcPr>
            <w:tcW w:w="1135" w:type="dxa"/>
            <w:tcBorders>
              <w:top w:val="nil"/>
              <w:left w:val="single" w:sz="8" w:space="0" w:color="auto"/>
              <w:bottom w:val="single" w:sz="8" w:space="0" w:color="auto"/>
              <w:right w:val="single" w:sz="4" w:space="0" w:color="auto"/>
            </w:tcBorders>
            <w:noWrap/>
            <w:vAlign w:val="bottom"/>
          </w:tcPr>
          <w:p w:rsidR="00FD3D38" w:rsidRDefault="00FD3D38" w:rsidP="00C56417">
            <w:pPr>
              <w:jc w:val="center"/>
              <w:rPr>
                <w:rFonts w:ascii="Arial" w:hAnsi="Arial" w:cs="Arial"/>
                <w:b/>
                <w:bCs/>
              </w:rPr>
            </w:pPr>
            <w:r>
              <w:rPr>
                <w:rFonts w:ascii="Arial" w:hAnsi="Arial" w:cs="Arial"/>
                <w:b/>
                <w:bCs/>
              </w:rPr>
              <w:t>8</w:t>
            </w:r>
          </w:p>
        </w:tc>
      </w:tr>
    </w:tbl>
    <w:p w:rsidR="00FD3D38" w:rsidRDefault="00FD3D38" w:rsidP="004D5647">
      <w:pPr>
        <w:jc w:val="both"/>
        <w:rPr>
          <w:i/>
        </w:rPr>
      </w:pPr>
      <w:r w:rsidRPr="00BD078D">
        <w:rPr>
          <w:i/>
        </w:rPr>
        <w:t>(Source – SBP Housing Finance Review – 2005 to 2011)</w:t>
      </w:r>
    </w:p>
    <w:tbl>
      <w:tblPr>
        <w:tblW w:w="9195" w:type="dxa"/>
        <w:tblInd w:w="93" w:type="dxa"/>
        <w:tblLook w:val="0000" w:firstRow="0" w:lastRow="0" w:firstColumn="0" w:lastColumn="0" w:noHBand="0" w:noVBand="0"/>
      </w:tblPr>
      <w:tblGrid>
        <w:gridCol w:w="3435"/>
        <w:gridCol w:w="1260"/>
        <w:gridCol w:w="1080"/>
        <w:gridCol w:w="1080"/>
        <w:gridCol w:w="1080"/>
        <w:gridCol w:w="1260"/>
      </w:tblGrid>
      <w:tr w:rsidR="00FD3D38" w:rsidRPr="00CF3DAE" w:rsidTr="00CF3DAE">
        <w:trPr>
          <w:trHeight w:val="540"/>
        </w:trPr>
        <w:tc>
          <w:tcPr>
            <w:tcW w:w="9195" w:type="dxa"/>
            <w:gridSpan w:val="6"/>
            <w:tcBorders>
              <w:top w:val="single" w:sz="8" w:space="0" w:color="auto"/>
              <w:left w:val="single" w:sz="8" w:space="0" w:color="auto"/>
              <w:bottom w:val="single" w:sz="8" w:space="0" w:color="auto"/>
              <w:right w:val="single" w:sz="8" w:space="0" w:color="000000"/>
            </w:tcBorders>
            <w:noWrap/>
            <w:vAlign w:val="center"/>
          </w:tcPr>
          <w:p w:rsidR="00FD3D38" w:rsidRPr="00932A21" w:rsidRDefault="00FD3D38" w:rsidP="00CF3DAE">
            <w:pPr>
              <w:spacing w:after="0" w:line="240" w:lineRule="auto"/>
              <w:jc w:val="center"/>
              <w:rPr>
                <w:rFonts w:ascii="Arial" w:eastAsia="Batang" w:hAnsi="Arial" w:cs="Arial"/>
                <w:b/>
                <w:bCs/>
                <w:lang w:eastAsia="ko-KR"/>
              </w:rPr>
            </w:pPr>
            <w:proofErr w:type="spellStart"/>
            <w:r w:rsidRPr="00932A21">
              <w:rPr>
                <w:rFonts w:ascii="Arial" w:eastAsia="Batang" w:hAnsi="Arial" w:cs="Arial"/>
                <w:b/>
                <w:bCs/>
                <w:lang w:eastAsia="ko-KR"/>
              </w:rPr>
              <w:t>Non Performing</w:t>
            </w:r>
            <w:proofErr w:type="spellEnd"/>
            <w:r w:rsidRPr="00932A21">
              <w:rPr>
                <w:rFonts w:ascii="Arial" w:eastAsia="Batang" w:hAnsi="Arial" w:cs="Arial"/>
                <w:b/>
                <w:bCs/>
                <w:lang w:eastAsia="ko-KR"/>
              </w:rPr>
              <w:t xml:space="preserve"> Loans (NPLs) of Housing Finance Industry including All Banks/DFIs and HBFC  (In Billions)</w:t>
            </w:r>
          </w:p>
        </w:tc>
      </w:tr>
      <w:tr w:rsidR="00FD3D38" w:rsidRPr="00CF3DAE" w:rsidTr="00CF3DAE">
        <w:trPr>
          <w:trHeight w:val="270"/>
        </w:trPr>
        <w:tc>
          <w:tcPr>
            <w:tcW w:w="3435" w:type="dxa"/>
            <w:tcBorders>
              <w:top w:val="nil"/>
              <w:left w:val="single" w:sz="8" w:space="0" w:color="auto"/>
              <w:bottom w:val="nil"/>
              <w:right w:val="nil"/>
            </w:tcBorders>
            <w:shd w:val="clear" w:color="auto" w:fill="C0C0C0"/>
            <w:noWrap/>
            <w:vAlign w:val="bottom"/>
          </w:tcPr>
          <w:p w:rsidR="00FD3D38" w:rsidRPr="00CF3DAE" w:rsidRDefault="00FD3D38" w:rsidP="00CF3DAE">
            <w:pPr>
              <w:spacing w:after="0" w:line="240" w:lineRule="auto"/>
              <w:jc w:val="center"/>
              <w:rPr>
                <w:rFonts w:ascii="Arial" w:eastAsia="Batang" w:hAnsi="Arial" w:cs="Arial"/>
                <w:b/>
                <w:bCs/>
                <w:sz w:val="20"/>
                <w:szCs w:val="20"/>
                <w:lang w:eastAsia="ko-KR"/>
              </w:rPr>
            </w:pPr>
            <w:r w:rsidRPr="00CF3DAE">
              <w:rPr>
                <w:rFonts w:ascii="Arial" w:eastAsia="Batang" w:hAnsi="Arial" w:cs="Arial"/>
                <w:b/>
                <w:bCs/>
                <w:sz w:val="20"/>
                <w:szCs w:val="20"/>
                <w:lang w:eastAsia="ko-KR"/>
              </w:rPr>
              <w:t>YEAR</w:t>
            </w:r>
          </w:p>
        </w:tc>
        <w:tc>
          <w:tcPr>
            <w:tcW w:w="1260" w:type="dxa"/>
            <w:tcBorders>
              <w:top w:val="nil"/>
              <w:left w:val="single" w:sz="8" w:space="0" w:color="auto"/>
              <w:bottom w:val="nil"/>
              <w:right w:val="single" w:sz="4" w:space="0" w:color="auto"/>
            </w:tcBorders>
            <w:shd w:val="clear" w:color="auto" w:fill="C0C0C0"/>
            <w:noWrap/>
            <w:vAlign w:val="bottom"/>
          </w:tcPr>
          <w:p w:rsidR="00FD3D38" w:rsidRPr="00CF3DAE" w:rsidRDefault="00FD3D38" w:rsidP="00CF3DAE">
            <w:pPr>
              <w:spacing w:after="0" w:line="240" w:lineRule="auto"/>
              <w:jc w:val="center"/>
              <w:rPr>
                <w:rFonts w:ascii="Arial" w:eastAsia="Batang" w:hAnsi="Arial" w:cs="Arial"/>
                <w:b/>
                <w:bCs/>
                <w:sz w:val="20"/>
                <w:szCs w:val="20"/>
                <w:lang w:eastAsia="ko-KR"/>
              </w:rPr>
            </w:pPr>
            <w:r w:rsidRPr="00CF3DAE">
              <w:rPr>
                <w:rFonts w:ascii="Arial" w:eastAsia="Batang" w:hAnsi="Arial" w:cs="Arial"/>
                <w:b/>
                <w:bCs/>
                <w:sz w:val="20"/>
                <w:szCs w:val="20"/>
                <w:lang w:eastAsia="ko-KR"/>
              </w:rPr>
              <w:t>2008</w:t>
            </w:r>
          </w:p>
        </w:tc>
        <w:tc>
          <w:tcPr>
            <w:tcW w:w="1080" w:type="dxa"/>
            <w:tcBorders>
              <w:top w:val="nil"/>
              <w:left w:val="single" w:sz="8" w:space="0" w:color="auto"/>
              <w:bottom w:val="nil"/>
              <w:right w:val="single" w:sz="4" w:space="0" w:color="auto"/>
            </w:tcBorders>
            <w:shd w:val="clear" w:color="auto" w:fill="C0C0C0"/>
            <w:noWrap/>
            <w:vAlign w:val="bottom"/>
          </w:tcPr>
          <w:p w:rsidR="00FD3D38" w:rsidRPr="00CF3DAE" w:rsidRDefault="00FD3D38" w:rsidP="00CF3DAE">
            <w:pPr>
              <w:spacing w:after="0" w:line="240" w:lineRule="auto"/>
              <w:jc w:val="center"/>
              <w:rPr>
                <w:rFonts w:ascii="Arial" w:eastAsia="Batang" w:hAnsi="Arial" w:cs="Arial"/>
                <w:b/>
                <w:bCs/>
                <w:sz w:val="20"/>
                <w:szCs w:val="20"/>
                <w:lang w:eastAsia="ko-KR"/>
              </w:rPr>
            </w:pPr>
            <w:r w:rsidRPr="00CF3DAE">
              <w:rPr>
                <w:rFonts w:ascii="Arial" w:eastAsia="Batang" w:hAnsi="Arial" w:cs="Arial"/>
                <w:b/>
                <w:bCs/>
                <w:sz w:val="20"/>
                <w:szCs w:val="20"/>
                <w:lang w:eastAsia="ko-KR"/>
              </w:rPr>
              <w:t>2009</w:t>
            </w:r>
          </w:p>
        </w:tc>
        <w:tc>
          <w:tcPr>
            <w:tcW w:w="1080" w:type="dxa"/>
            <w:tcBorders>
              <w:top w:val="nil"/>
              <w:left w:val="single" w:sz="8" w:space="0" w:color="auto"/>
              <w:bottom w:val="nil"/>
              <w:right w:val="single" w:sz="4" w:space="0" w:color="auto"/>
            </w:tcBorders>
            <w:shd w:val="clear" w:color="auto" w:fill="C0C0C0"/>
            <w:noWrap/>
            <w:vAlign w:val="bottom"/>
          </w:tcPr>
          <w:p w:rsidR="00FD3D38" w:rsidRPr="00CF3DAE" w:rsidRDefault="00FD3D38" w:rsidP="00CF3DAE">
            <w:pPr>
              <w:spacing w:after="0" w:line="240" w:lineRule="auto"/>
              <w:jc w:val="center"/>
              <w:rPr>
                <w:rFonts w:ascii="Arial" w:eastAsia="Batang" w:hAnsi="Arial" w:cs="Arial"/>
                <w:b/>
                <w:bCs/>
                <w:sz w:val="20"/>
                <w:szCs w:val="20"/>
                <w:lang w:eastAsia="ko-KR"/>
              </w:rPr>
            </w:pPr>
            <w:r w:rsidRPr="00CF3DAE">
              <w:rPr>
                <w:rFonts w:ascii="Arial" w:eastAsia="Batang" w:hAnsi="Arial" w:cs="Arial"/>
                <w:b/>
                <w:bCs/>
                <w:sz w:val="20"/>
                <w:szCs w:val="20"/>
                <w:lang w:eastAsia="ko-KR"/>
              </w:rPr>
              <w:t>2010</w:t>
            </w:r>
          </w:p>
        </w:tc>
        <w:tc>
          <w:tcPr>
            <w:tcW w:w="1080" w:type="dxa"/>
            <w:tcBorders>
              <w:top w:val="nil"/>
              <w:left w:val="single" w:sz="8" w:space="0" w:color="auto"/>
              <w:bottom w:val="nil"/>
              <w:right w:val="single" w:sz="4" w:space="0" w:color="auto"/>
            </w:tcBorders>
            <w:shd w:val="clear" w:color="auto" w:fill="C0C0C0"/>
            <w:noWrap/>
            <w:vAlign w:val="bottom"/>
          </w:tcPr>
          <w:p w:rsidR="00FD3D38" w:rsidRPr="00CF3DAE" w:rsidRDefault="00FD3D38" w:rsidP="00CF3DAE">
            <w:pPr>
              <w:spacing w:after="0" w:line="240" w:lineRule="auto"/>
              <w:jc w:val="center"/>
              <w:rPr>
                <w:rFonts w:ascii="Arial" w:eastAsia="Batang" w:hAnsi="Arial" w:cs="Arial"/>
                <w:b/>
                <w:bCs/>
                <w:sz w:val="20"/>
                <w:szCs w:val="20"/>
                <w:lang w:eastAsia="ko-KR"/>
              </w:rPr>
            </w:pPr>
            <w:r w:rsidRPr="00CF3DAE">
              <w:rPr>
                <w:rFonts w:ascii="Arial" w:eastAsia="Batang" w:hAnsi="Arial" w:cs="Arial"/>
                <w:b/>
                <w:bCs/>
                <w:sz w:val="20"/>
                <w:szCs w:val="20"/>
                <w:lang w:eastAsia="ko-KR"/>
              </w:rPr>
              <w:t>2011</w:t>
            </w:r>
          </w:p>
        </w:tc>
        <w:tc>
          <w:tcPr>
            <w:tcW w:w="1260" w:type="dxa"/>
            <w:tcBorders>
              <w:top w:val="nil"/>
              <w:left w:val="single" w:sz="8" w:space="0" w:color="auto"/>
              <w:bottom w:val="nil"/>
              <w:right w:val="single" w:sz="8" w:space="0" w:color="auto"/>
            </w:tcBorders>
            <w:shd w:val="clear" w:color="auto" w:fill="C0C0C0"/>
            <w:noWrap/>
            <w:vAlign w:val="bottom"/>
          </w:tcPr>
          <w:p w:rsidR="00FD3D38" w:rsidRPr="00CF3DAE" w:rsidRDefault="00FD3D38" w:rsidP="00CF3DAE">
            <w:pPr>
              <w:spacing w:after="0" w:line="240" w:lineRule="auto"/>
              <w:jc w:val="center"/>
              <w:rPr>
                <w:rFonts w:ascii="Arial" w:eastAsia="Batang" w:hAnsi="Arial" w:cs="Arial"/>
                <w:b/>
                <w:bCs/>
                <w:sz w:val="20"/>
                <w:szCs w:val="20"/>
                <w:lang w:eastAsia="ko-KR"/>
              </w:rPr>
            </w:pPr>
            <w:r w:rsidRPr="00CF3DAE">
              <w:rPr>
                <w:rFonts w:ascii="Arial" w:eastAsia="Batang" w:hAnsi="Arial" w:cs="Arial"/>
                <w:b/>
                <w:bCs/>
                <w:sz w:val="20"/>
                <w:szCs w:val="20"/>
                <w:lang w:eastAsia="ko-KR"/>
              </w:rPr>
              <w:t>2012</w:t>
            </w:r>
          </w:p>
        </w:tc>
      </w:tr>
      <w:tr w:rsidR="00FD3D38" w:rsidRPr="00CF3DAE" w:rsidTr="00CF3DAE">
        <w:trPr>
          <w:trHeight w:val="285"/>
        </w:trPr>
        <w:tc>
          <w:tcPr>
            <w:tcW w:w="3435" w:type="dxa"/>
            <w:tcBorders>
              <w:top w:val="single" w:sz="8" w:space="0" w:color="auto"/>
              <w:left w:val="single" w:sz="8" w:space="0" w:color="auto"/>
              <w:bottom w:val="single" w:sz="4" w:space="0" w:color="auto"/>
              <w:right w:val="single" w:sz="4" w:space="0" w:color="auto"/>
            </w:tcBorders>
            <w:noWrap/>
            <w:vAlign w:val="bottom"/>
          </w:tcPr>
          <w:p w:rsidR="00FD3D38" w:rsidRPr="00CF3DAE" w:rsidRDefault="00FD3D38" w:rsidP="00CF3DAE">
            <w:pPr>
              <w:spacing w:after="0" w:line="240" w:lineRule="auto"/>
              <w:rPr>
                <w:rFonts w:ascii="Arial" w:eastAsia="Batang" w:hAnsi="Arial" w:cs="Arial"/>
                <w:lang w:eastAsia="ko-KR"/>
              </w:rPr>
            </w:pPr>
            <w:r w:rsidRPr="00CF3DAE">
              <w:rPr>
                <w:rFonts w:ascii="Arial" w:eastAsia="Batang" w:hAnsi="Arial" w:cs="Arial"/>
                <w:lang w:eastAsia="ko-KR"/>
              </w:rPr>
              <w:t>Share of Banks/DFIs in NPL</w:t>
            </w:r>
            <w:r>
              <w:rPr>
                <w:rFonts w:ascii="Arial" w:eastAsia="Batang" w:hAnsi="Arial" w:cs="Arial"/>
                <w:lang w:eastAsia="ko-KR"/>
              </w:rPr>
              <w:t>s (a)</w:t>
            </w:r>
          </w:p>
        </w:tc>
        <w:tc>
          <w:tcPr>
            <w:tcW w:w="1260" w:type="dxa"/>
            <w:tcBorders>
              <w:top w:val="single" w:sz="8" w:space="0" w:color="auto"/>
              <w:left w:val="nil"/>
              <w:bottom w:val="single" w:sz="4" w:space="0" w:color="auto"/>
              <w:right w:val="single" w:sz="4" w:space="0" w:color="auto"/>
            </w:tcBorders>
            <w:noWrap/>
            <w:vAlign w:val="bottom"/>
          </w:tcPr>
          <w:p w:rsidR="00FD3D38" w:rsidRPr="00CF3DAE" w:rsidRDefault="00FD3D38" w:rsidP="00CF3DAE">
            <w:pPr>
              <w:spacing w:after="0" w:line="240" w:lineRule="auto"/>
              <w:jc w:val="center"/>
              <w:rPr>
                <w:rFonts w:ascii="Arial" w:eastAsia="Batang" w:hAnsi="Arial" w:cs="Arial"/>
                <w:lang w:eastAsia="ko-KR"/>
              </w:rPr>
            </w:pPr>
            <w:r w:rsidRPr="00CF3DAE">
              <w:rPr>
                <w:rFonts w:ascii="Arial" w:eastAsia="Batang" w:hAnsi="Arial" w:cs="Arial"/>
                <w:lang w:eastAsia="ko-KR"/>
              </w:rPr>
              <w:t>6</w:t>
            </w:r>
          </w:p>
        </w:tc>
        <w:tc>
          <w:tcPr>
            <w:tcW w:w="1080" w:type="dxa"/>
            <w:tcBorders>
              <w:top w:val="single" w:sz="8" w:space="0" w:color="auto"/>
              <w:left w:val="nil"/>
              <w:bottom w:val="single" w:sz="4" w:space="0" w:color="auto"/>
              <w:right w:val="single" w:sz="4" w:space="0" w:color="auto"/>
            </w:tcBorders>
            <w:noWrap/>
            <w:vAlign w:val="bottom"/>
          </w:tcPr>
          <w:p w:rsidR="00FD3D38" w:rsidRPr="00CF3DAE" w:rsidRDefault="00FD3D38" w:rsidP="00CF3DAE">
            <w:pPr>
              <w:spacing w:after="0" w:line="240" w:lineRule="auto"/>
              <w:jc w:val="center"/>
              <w:rPr>
                <w:rFonts w:ascii="Arial" w:eastAsia="Batang" w:hAnsi="Arial" w:cs="Arial"/>
                <w:lang w:eastAsia="ko-KR"/>
              </w:rPr>
            </w:pPr>
            <w:r w:rsidRPr="00CF3DAE">
              <w:rPr>
                <w:rFonts w:ascii="Arial" w:eastAsia="Batang" w:hAnsi="Arial" w:cs="Arial"/>
                <w:lang w:eastAsia="ko-KR"/>
              </w:rPr>
              <w:t>9</w:t>
            </w:r>
          </w:p>
        </w:tc>
        <w:tc>
          <w:tcPr>
            <w:tcW w:w="1080" w:type="dxa"/>
            <w:tcBorders>
              <w:top w:val="single" w:sz="8" w:space="0" w:color="auto"/>
              <w:left w:val="nil"/>
              <w:bottom w:val="single" w:sz="4" w:space="0" w:color="auto"/>
              <w:right w:val="single" w:sz="4" w:space="0" w:color="auto"/>
            </w:tcBorders>
            <w:noWrap/>
            <w:vAlign w:val="bottom"/>
          </w:tcPr>
          <w:p w:rsidR="00FD3D38" w:rsidRPr="00CF3DAE" w:rsidRDefault="00FD3D38" w:rsidP="00CF3DAE">
            <w:pPr>
              <w:spacing w:after="0" w:line="240" w:lineRule="auto"/>
              <w:jc w:val="center"/>
              <w:rPr>
                <w:rFonts w:ascii="Arial" w:eastAsia="Batang" w:hAnsi="Arial" w:cs="Arial"/>
                <w:lang w:eastAsia="ko-KR"/>
              </w:rPr>
            </w:pPr>
            <w:r w:rsidRPr="00CF3DAE">
              <w:rPr>
                <w:rFonts w:ascii="Arial" w:eastAsia="Batang" w:hAnsi="Arial" w:cs="Arial"/>
                <w:lang w:eastAsia="ko-KR"/>
              </w:rPr>
              <w:t>11</w:t>
            </w:r>
          </w:p>
        </w:tc>
        <w:tc>
          <w:tcPr>
            <w:tcW w:w="1080" w:type="dxa"/>
            <w:tcBorders>
              <w:top w:val="single" w:sz="8" w:space="0" w:color="auto"/>
              <w:left w:val="nil"/>
              <w:bottom w:val="single" w:sz="4" w:space="0" w:color="auto"/>
              <w:right w:val="single" w:sz="4" w:space="0" w:color="auto"/>
            </w:tcBorders>
            <w:noWrap/>
            <w:vAlign w:val="bottom"/>
          </w:tcPr>
          <w:p w:rsidR="00FD3D38" w:rsidRPr="00CF3DAE" w:rsidRDefault="00FD3D38" w:rsidP="00CF3DAE">
            <w:pPr>
              <w:spacing w:after="0" w:line="240" w:lineRule="auto"/>
              <w:jc w:val="center"/>
              <w:rPr>
                <w:rFonts w:ascii="Arial" w:eastAsia="Batang" w:hAnsi="Arial" w:cs="Arial"/>
                <w:lang w:eastAsia="ko-KR"/>
              </w:rPr>
            </w:pPr>
            <w:r w:rsidRPr="00CF3DAE">
              <w:rPr>
                <w:rFonts w:ascii="Arial" w:eastAsia="Batang" w:hAnsi="Arial" w:cs="Arial"/>
                <w:lang w:eastAsia="ko-KR"/>
              </w:rPr>
              <w:t>12</w:t>
            </w:r>
          </w:p>
        </w:tc>
        <w:tc>
          <w:tcPr>
            <w:tcW w:w="1260" w:type="dxa"/>
            <w:tcBorders>
              <w:top w:val="single" w:sz="8" w:space="0" w:color="auto"/>
              <w:left w:val="nil"/>
              <w:bottom w:val="single" w:sz="4" w:space="0" w:color="auto"/>
              <w:right w:val="single" w:sz="8" w:space="0" w:color="auto"/>
            </w:tcBorders>
            <w:noWrap/>
            <w:vAlign w:val="bottom"/>
          </w:tcPr>
          <w:p w:rsidR="00FD3D38" w:rsidRPr="00CF3DAE" w:rsidRDefault="00FD3D38" w:rsidP="00CF3DAE">
            <w:pPr>
              <w:spacing w:after="0" w:line="240" w:lineRule="auto"/>
              <w:jc w:val="center"/>
              <w:rPr>
                <w:rFonts w:ascii="Arial" w:eastAsia="Batang" w:hAnsi="Arial" w:cs="Arial"/>
                <w:lang w:eastAsia="ko-KR"/>
              </w:rPr>
            </w:pPr>
            <w:r w:rsidRPr="00CF3DAE">
              <w:rPr>
                <w:rFonts w:ascii="Arial" w:eastAsia="Batang" w:hAnsi="Arial" w:cs="Arial"/>
                <w:lang w:eastAsia="ko-KR"/>
              </w:rPr>
              <w:t>11</w:t>
            </w:r>
          </w:p>
        </w:tc>
      </w:tr>
      <w:tr w:rsidR="00FD3D38" w:rsidRPr="00CF3DAE" w:rsidTr="00CF3DAE">
        <w:trPr>
          <w:trHeight w:val="375"/>
        </w:trPr>
        <w:tc>
          <w:tcPr>
            <w:tcW w:w="3435" w:type="dxa"/>
            <w:tcBorders>
              <w:top w:val="nil"/>
              <w:left w:val="single" w:sz="8" w:space="0" w:color="auto"/>
              <w:bottom w:val="single" w:sz="8" w:space="0" w:color="auto"/>
              <w:right w:val="single" w:sz="4" w:space="0" w:color="auto"/>
            </w:tcBorders>
            <w:noWrap/>
            <w:vAlign w:val="bottom"/>
          </w:tcPr>
          <w:p w:rsidR="00FD3D38" w:rsidRPr="00CF3DAE" w:rsidRDefault="00FD3D38" w:rsidP="00CF3DAE">
            <w:pPr>
              <w:spacing w:after="0" w:line="240" w:lineRule="auto"/>
              <w:rPr>
                <w:rFonts w:ascii="Arial" w:eastAsia="Batang" w:hAnsi="Arial" w:cs="Arial"/>
                <w:lang w:eastAsia="ko-KR"/>
              </w:rPr>
            </w:pPr>
            <w:r w:rsidRPr="00CF3DAE">
              <w:rPr>
                <w:rFonts w:ascii="Arial" w:eastAsia="Batang" w:hAnsi="Arial" w:cs="Arial"/>
                <w:lang w:eastAsia="ko-KR"/>
              </w:rPr>
              <w:t>Share of HBFC in NPL</w:t>
            </w:r>
            <w:r>
              <w:rPr>
                <w:rFonts w:ascii="Arial" w:eastAsia="Batang" w:hAnsi="Arial" w:cs="Arial"/>
                <w:lang w:eastAsia="ko-KR"/>
              </w:rPr>
              <w:t>s(b)</w:t>
            </w:r>
          </w:p>
        </w:tc>
        <w:tc>
          <w:tcPr>
            <w:tcW w:w="1260" w:type="dxa"/>
            <w:tcBorders>
              <w:top w:val="nil"/>
              <w:left w:val="nil"/>
              <w:bottom w:val="single" w:sz="8" w:space="0" w:color="auto"/>
              <w:right w:val="single" w:sz="4" w:space="0" w:color="auto"/>
            </w:tcBorders>
            <w:noWrap/>
            <w:vAlign w:val="bottom"/>
          </w:tcPr>
          <w:p w:rsidR="00FD3D38" w:rsidRPr="00CF3DAE" w:rsidRDefault="00FD3D38" w:rsidP="00CF3DAE">
            <w:pPr>
              <w:spacing w:after="0" w:line="240" w:lineRule="auto"/>
              <w:jc w:val="center"/>
              <w:rPr>
                <w:rFonts w:ascii="Arial" w:eastAsia="Batang" w:hAnsi="Arial" w:cs="Arial"/>
                <w:lang w:eastAsia="ko-KR"/>
              </w:rPr>
            </w:pPr>
            <w:r w:rsidRPr="00CF3DAE">
              <w:rPr>
                <w:rFonts w:ascii="Arial" w:eastAsia="Batang" w:hAnsi="Arial" w:cs="Arial"/>
                <w:lang w:eastAsia="ko-KR"/>
              </w:rPr>
              <w:t>6</w:t>
            </w:r>
          </w:p>
        </w:tc>
        <w:tc>
          <w:tcPr>
            <w:tcW w:w="1080" w:type="dxa"/>
            <w:tcBorders>
              <w:top w:val="nil"/>
              <w:left w:val="nil"/>
              <w:bottom w:val="single" w:sz="8" w:space="0" w:color="auto"/>
              <w:right w:val="single" w:sz="4" w:space="0" w:color="auto"/>
            </w:tcBorders>
            <w:noWrap/>
            <w:vAlign w:val="bottom"/>
          </w:tcPr>
          <w:p w:rsidR="00FD3D38" w:rsidRPr="00CF3DAE" w:rsidRDefault="00FD3D38" w:rsidP="00CF3DAE">
            <w:pPr>
              <w:spacing w:after="0" w:line="240" w:lineRule="auto"/>
              <w:jc w:val="center"/>
              <w:rPr>
                <w:rFonts w:ascii="Arial" w:eastAsia="Batang" w:hAnsi="Arial" w:cs="Arial"/>
                <w:lang w:eastAsia="ko-KR"/>
              </w:rPr>
            </w:pPr>
            <w:r w:rsidRPr="00CF3DAE">
              <w:rPr>
                <w:rFonts w:ascii="Arial" w:eastAsia="Batang" w:hAnsi="Arial" w:cs="Arial"/>
                <w:lang w:eastAsia="ko-KR"/>
              </w:rPr>
              <w:t>7</w:t>
            </w:r>
          </w:p>
        </w:tc>
        <w:tc>
          <w:tcPr>
            <w:tcW w:w="1080" w:type="dxa"/>
            <w:tcBorders>
              <w:top w:val="nil"/>
              <w:left w:val="nil"/>
              <w:bottom w:val="single" w:sz="8" w:space="0" w:color="auto"/>
              <w:right w:val="single" w:sz="4" w:space="0" w:color="auto"/>
            </w:tcBorders>
            <w:noWrap/>
            <w:vAlign w:val="bottom"/>
          </w:tcPr>
          <w:p w:rsidR="00FD3D38" w:rsidRPr="00CF3DAE" w:rsidRDefault="00FD3D38" w:rsidP="00CF3DAE">
            <w:pPr>
              <w:spacing w:after="0" w:line="240" w:lineRule="auto"/>
              <w:jc w:val="center"/>
              <w:rPr>
                <w:rFonts w:ascii="Arial" w:eastAsia="Batang" w:hAnsi="Arial" w:cs="Arial"/>
                <w:lang w:eastAsia="ko-KR"/>
              </w:rPr>
            </w:pPr>
            <w:r w:rsidRPr="00CF3DAE">
              <w:rPr>
                <w:rFonts w:ascii="Arial" w:eastAsia="Batang" w:hAnsi="Arial" w:cs="Arial"/>
                <w:lang w:eastAsia="ko-KR"/>
              </w:rPr>
              <w:t>7</w:t>
            </w:r>
          </w:p>
        </w:tc>
        <w:tc>
          <w:tcPr>
            <w:tcW w:w="1080" w:type="dxa"/>
            <w:tcBorders>
              <w:top w:val="nil"/>
              <w:left w:val="nil"/>
              <w:bottom w:val="single" w:sz="8" w:space="0" w:color="auto"/>
              <w:right w:val="single" w:sz="4" w:space="0" w:color="auto"/>
            </w:tcBorders>
            <w:noWrap/>
            <w:vAlign w:val="bottom"/>
          </w:tcPr>
          <w:p w:rsidR="00FD3D38" w:rsidRPr="00CF3DAE" w:rsidRDefault="00FD3D38" w:rsidP="00CF3DAE">
            <w:pPr>
              <w:spacing w:after="0" w:line="240" w:lineRule="auto"/>
              <w:jc w:val="center"/>
              <w:rPr>
                <w:rFonts w:ascii="Arial" w:eastAsia="Batang" w:hAnsi="Arial" w:cs="Arial"/>
                <w:lang w:eastAsia="ko-KR"/>
              </w:rPr>
            </w:pPr>
            <w:r w:rsidRPr="00CF3DAE">
              <w:rPr>
                <w:rFonts w:ascii="Arial" w:eastAsia="Batang" w:hAnsi="Arial" w:cs="Arial"/>
                <w:lang w:eastAsia="ko-KR"/>
              </w:rPr>
              <w:t>7</w:t>
            </w:r>
          </w:p>
        </w:tc>
        <w:tc>
          <w:tcPr>
            <w:tcW w:w="1260" w:type="dxa"/>
            <w:tcBorders>
              <w:top w:val="nil"/>
              <w:left w:val="nil"/>
              <w:bottom w:val="single" w:sz="8" w:space="0" w:color="auto"/>
              <w:right w:val="single" w:sz="8" w:space="0" w:color="auto"/>
            </w:tcBorders>
            <w:noWrap/>
            <w:vAlign w:val="bottom"/>
          </w:tcPr>
          <w:p w:rsidR="00FD3D38" w:rsidRPr="00CF3DAE" w:rsidRDefault="00FD3D38" w:rsidP="00CF3DAE">
            <w:pPr>
              <w:spacing w:after="0" w:line="240" w:lineRule="auto"/>
              <w:jc w:val="center"/>
              <w:rPr>
                <w:rFonts w:ascii="Arial" w:eastAsia="Batang" w:hAnsi="Arial" w:cs="Arial"/>
                <w:lang w:eastAsia="ko-KR"/>
              </w:rPr>
            </w:pPr>
            <w:r w:rsidRPr="00CF3DAE">
              <w:rPr>
                <w:rFonts w:ascii="Arial" w:eastAsia="Batang" w:hAnsi="Arial" w:cs="Arial"/>
                <w:lang w:eastAsia="ko-KR"/>
              </w:rPr>
              <w:t>8</w:t>
            </w:r>
          </w:p>
        </w:tc>
      </w:tr>
      <w:tr w:rsidR="00FD3D38" w:rsidRPr="00CF3DAE" w:rsidTr="00CF3DAE">
        <w:trPr>
          <w:trHeight w:val="465"/>
        </w:trPr>
        <w:tc>
          <w:tcPr>
            <w:tcW w:w="3435" w:type="dxa"/>
            <w:tcBorders>
              <w:top w:val="nil"/>
              <w:left w:val="single" w:sz="8" w:space="0" w:color="auto"/>
              <w:bottom w:val="single" w:sz="8" w:space="0" w:color="auto"/>
              <w:right w:val="single" w:sz="8" w:space="0" w:color="auto"/>
            </w:tcBorders>
            <w:noWrap/>
            <w:vAlign w:val="bottom"/>
          </w:tcPr>
          <w:p w:rsidR="00FD3D38" w:rsidRPr="00CF3DAE" w:rsidRDefault="00FD3D38" w:rsidP="00CF3DAE">
            <w:pPr>
              <w:spacing w:after="0" w:line="240" w:lineRule="auto"/>
              <w:rPr>
                <w:rFonts w:ascii="Arial" w:eastAsia="Batang" w:hAnsi="Arial" w:cs="Arial"/>
                <w:b/>
                <w:bCs/>
                <w:lang w:eastAsia="ko-KR"/>
              </w:rPr>
            </w:pPr>
            <w:r w:rsidRPr="00CF3DAE">
              <w:rPr>
                <w:rFonts w:ascii="Arial" w:eastAsia="Batang" w:hAnsi="Arial" w:cs="Arial"/>
                <w:b/>
                <w:bCs/>
                <w:lang w:eastAsia="ko-KR"/>
              </w:rPr>
              <w:t>TOTAL NPL</w:t>
            </w:r>
            <w:r>
              <w:rPr>
                <w:rFonts w:ascii="Arial" w:eastAsia="Batang" w:hAnsi="Arial" w:cs="Arial"/>
                <w:b/>
                <w:bCs/>
                <w:lang w:eastAsia="ko-KR"/>
              </w:rPr>
              <w:t xml:space="preserve">  (a + b) in Billions</w:t>
            </w:r>
          </w:p>
        </w:tc>
        <w:tc>
          <w:tcPr>
            <w:tcW w:w="1260" w:type="dxa"/>
            <w:tcBorders>
              <w:top w:val="nil"/>
              <w:left w:val="nil"/>
              <w:bottom w:val="single" w:sz="8" w:space="0" w:color="auto"/>
              <w:right w:val="nil"/>
            </w:tcBorders>
            <w:noWrap/>
            <w:vAlign w:val="bottom"/>
          </w:tcPr>
          <w:p w:rsidR="00FD3D38" w:rsidRPr="00CF3DAE" w:rsidRDefault="00FD3D38" w:rsidP="00CF3DAE">
            <w:pPr>
              <w:spacing w:after="0" w:line="240" w:lineRule="auto"/>
              <w:jc w:val="center"/>
              <w:rPr>
                <w:rFonts w:ascii="Arial" w:eastAsia="Batang" w:hAnsi="Arial" w:cs="Arial"/>
                <w:b/>
                <w:bCs/>
                <w:lang w:eastAsia="ko-KR"/>
              </w:rPr>
            </w:pPr>
            <w:r w:rsidRPr="00CF3DAE">
              <w:rPr>
                <w:rFonts w:ascii="Arial" w:eastAsia="Batang" w:hAnsi="Arial" w:cs="Arial"/>
                <w:b/>
                <w:bCs/>
                <w:lang w:eastAsia="ko-KR"/>
              </w:rPr>
              <w:t>12</w:t>
            </w:r>
          </w:p>
        </w:tc>
        <w:tc>
          <w:tcPr>
            <w:tcW w:w="1080" w:type="dxa"/>
            <w:tcBorders>
              <w:top w:val="nil"/>
              <w:left w:val="single" w:sz="8" w:space="0" w:color="auto"/>
              <w:bottom w:val="single" w:sz="8" w:space="0" w:color="auto"/>
              <w:right w:val="single" w:sz="8" w:space="0" w:color="auto"/>
            </w:tcBorders>
            <w:noWrap/>
            <w:vAlign w:val="bottom"/>
          </w:tcPr>
          <w:p w:rsidR="00FD3D38" w:rsidRPr="00CF3DAE" w:rsidRDefault="00FD3D38" w:rsidP="00CF3DAE">
            <w:pPr>
              <w:spacing w:after="0" w:line="240" w:lineRule="auto"/>
              <w:jc w:val="center"/>
              <w:rPr>
                <w:rFonts w:ascii="Arial" w:eastAsia="Batang" w:hAnsi="Arial" w:cs="Arial"/>
                <w:b/>
                <w:bCs/>
                <w:lang w:eastAsia="ko-KR"/>
              </w:rPr>
            </w:pPr>
            <w:r w:rsidRPr="00CF3DAE">
              <w:rPr>
                <w:rFonts w:ascii="Arial" w:eastAsia="Batang" w:hAnsi="Arial" w:cs="Arial"/>
                <w:b/>
                <w:bCs/>
                <w:lang w:eastAsia="ko-KR"/>
              </w:rPr>
              <w:t>16</w:t>
            </w:r>
          </w:p>
        </w:tc>
        <w:tc>
          <w:tcPr>
            <w:tcW w:w="1080" w:type="dxa"/>
            <w:tcBorders>
              <w:top w:val="nil"/>
              <w:left w:val="nil"/>
              <w:bottom w:val="single" w:sz="8" w:space="0" w:color="auto"/>
              <w:right w:val="nil"/>
            </w:tcBorders>
            <w:noWrap/>
            <w:vAlign w:val="bottom"/>
          </w:tcPr>
          <w:p w:rsidR="00FD3D38" w:rsidRPr="00CF3DAE" w:rsidRDefault="00FD3D38" w:rsidP="00CF3DAE">
            <w:pPr>
              <w:spacing w:after="0" w:line="240" w:lineRule="auto"/>
              <w:jc w:val="center"/>
              <w:rPr>
                <w:rFonts w:ascii="Arial" w:eastAsia="Batang" w:hAnsi="Arial" w:cs="Arial"/>
                <w:b/>
                <w:bCs/>
                <w:lang w:eastAsia="ko-KR"/>
              </w:rPr>
            </w:pPr>
            <w:r w:rsidRPr="00CF3DAE">
              <w:rPr>
                <w:rFonts w:ascii="Arial" w:eastAsia="Batang" w:hAnsi="Arial" w:cs="Arial"/>
                <w:b/>
                <w:bCs/>
                <w:lang w:eastAsia="ko-KR"/>
              </w:rPr>
              <w:t>19</w:t>
            </w:r>
          </w:p>
        </w:tc>
        <w:tc>
          <w:tcPr>
            <w:tcW w:w="1080" w:type="dxa"/>
            <w:tcBorders>
              <w:top w:val="nil"/>
              <w:left w:val="single" w:sz="8" w:space="0" w:color="auto"/>
              <w:bottom w:val="single" w:sz="8" w:space="0" w:color="auto"/>
              <w:right w:val="single" w:sz="8" w:space="0" w:color="auto"/>
            </w:tcBorders>
            <w:noWrap/>
            <w:vAlign w:val="bottom"/>
          </w:tcPr>
          <w:p w:rsidR="00FD3D38" w:rsidRPr="00CF3DAE" w:rsidRDefault="00FD3D38" w:rsidP="00CF3DAE">
            <w:pPr>
              <w:spacing w:after="0" w:line="240" w:lineRule="auto"/>
              <w:jc w:val="center"/>
              <w:rPr>
                <w:rFonts w:ascii="Arial" w:eastAsia="Batang" w:hAnsi="Arial" w:cs="Arial"/>
                <w:b/>
                <w:bCs/>
                <w:lang w:eastAsia="ko-KR"/>
              </w:rPr>
            </w:pPr>
            <w:r w:rsidRPr="00CF3DAE">
              <w:rPr>
                <w:rFonts w:ascii="Arial" w:eastAsia="Batang" w:hAnsi="Arial" w:cs="Arial"/>
                <w:b/>
                <w:bCs/>
                <w:lang w:eastAsia="ko-KR"/>
              </w:rPr>
              <w:t>19</w:t>
            </w:r>
          </w:p>
        </w:tc>
        <w:tc>
          <w:tcPr>
            <w:tcW w:w="1260" w:type="dxa"/>
            <w:tcBorders>
              <w:top w:val="nil"/>
              <w:left w:val="nil"/>
              <w:bottom w:val="single" w:sz="8" w:space="0" w:color="auto"/>
              <w:right w:val="single" w:sz="8" w:space="0" w:color="auto"/>
            </w:tcBorders>
            <w:noWrap/>
            <w:vAlign w:val="bottom"/>
          </w:tcPr>
          <w:p w:rsidR="00FD3D38" w:rsidRPr="00CF3DAE" w:rsidRDefault="00FD3D38" w:rsidP="00CF3DAE">
            <w:pPr>
              <w:spacing w:after="0" w:line="240" w:lineRule="auto"/>
              <w:jc w:val="center"/>
              <w:rPr>
                <w:rFonts w:ascii="Arial" w:eastAsia="Batang" w:hAnsi="Arial" w:cs="Arial"/>
                <w:b/>
                <w:bCs/>
                <w:lang w:eastAsia="ko-KR"/>
              </w:rPr>
            </w:pPr>
            <w:r w:rsidRPr="00CF3DAE">
              <w:rPr>
                <w:rFonts w:ascii="Arial" w:eastAsia="Batang" w:hAnsi="Arial" w:cs="Arial"/>
                <w:b/>
                <w:bCs/>
                <w:lang w:eastAsia="ko-KR"/>
              </w:rPr>
              <w:t>19</w:t>
            </w:r>
          </w:p>
        </w:tc>
      </w:tr>
      <w:tr w:rsidR="00FD3D38" w:rsidRPr="00CF3DAE" w:rsidTr="00CF3DAE">
        <w:trPr>
          <w:trHeight w:val="511"/>
        </w:trPr>
        <w:tc>
          <w:tcPr>
            <w:tcW w:w="3435" w:type="dxa"/>
            <w:tcBorders>
              <w:top w:val="nil"/>
              <w:left w:val="single" w:sz="8" w:space="0" w:color="auto"/>
              <w:bottom w:val="single" w:sz="8" w:space="0" w:color="auto"/>
              <w:right w:val="single" w:sz="8" w:space="0" w:color="auto"/>
            </w:tcBorders>
            <w:noWrap/>
            <w:vAlign w:val="bottom"/>
          </w:tcPr>
          <w:p w:rsidR="00FD3D38" w:rsidRPr="00BE588E" w:rsidRDefault="00FD3D38" w:rsidP="00932A21">
            <w:pPr>
              <w:spacing w:after="0" w:line="240" w:lineRule="auto"/>
              <w:rPr>
                <w:rFonts w:ascii="Arial" w:eastAsia="Batang" w:hAnsi="Arial" w:cs="Arial"/>
                <w:lang w:eastAsia="ko-KR"/>
              </w:rPr>
            </w:pPr>
            <w:r w:rsidRPr="00BE588E">
              <w:rPr>
                <w:rFonts w:ascii="Arial" w:eastAsia="Batang" w:hAnsi="Arial" w:cs="Arial"/>
                <w:lang w:eastAsia="ko-KR"/>
              </w:rPr>
              <w:t>% Share of  NPL in Gross Outstanding Housing Finance</w:t>
            </w:r>
          </w:p>
        </w:tc>
        <w:tc>
          <w:tcPr>
            <w:tcW w:w="1260" w:type="dxa"/>
            <w:tcBorders>
              <w:top w:val="nil"/>
              <w:left w:val="nil"/>
              <w:bottom w:val="single" w:sz="8" w:space="0" w:color="auto"/>
              <w:right w:val="nil"/>
            </w:tcBorders>
            <w:noWrap/>
            <w:vAlign w:val="bottom"/>
          </w:tcPr>
          <w:p w:rsidR="00FD3D38" w:rsidRPr="0029164E" w:rsidRDefault="00FD3D38" w:rsidP="00CF3DAE">
            <w:pPr>
              <w:spacing w:after="0" w:line="240" w:lineRule="auto"/>
              <w:jc w:val="center"/>
              <w:rPr>
                <w:rFonts w:ascii="Arial" w:eastAsia="Batang" w:hAnsi="Arial" w:cs="Arial"/>
                <w:bCs/>
                <w:lang w:eastAsia="ko-KR"/>
              </w:rPr>
            </w:pPr>
            <w:r w:rsidRPr="0029164E">
              <w:rPr>
                <w:rFonts w:ascii="Arial" w:eastAsia="Batang" w:hAnsi="Arial" w:cs="Arial"/>
                <w:bCs/>
                <w:lang w:eastAsia="ko-KR"/>
              </w:rPr>
              <w:t>15%</w:t>
            </w:r>
          </w:p>
        </w:tc>
        <w:tc>
          <w:tcPr>
            <w:tcW w:w="1080" w:type="dxa"/>
            <w:tcBorders>
              <w:top w:val="nil"/>
              <w:left w:val="single" w:sz="8" w:space="0" w:color="auto"/>
              <w:bottom w:val="single" w:sz="8" w:space="0" w:color="auto"/>
              <w:right w:val="single" w:sz="8" w:space="0" w:color="auto"/>
            </w:tcBorders>
            <w:noWrap/>
            <w:vAlign w:val="bottom"/>
          </w:tcPr>
          <w:p w:rsidR="00FD3D38" w:rsidRPr="0029164E" w:rsidRDefault="00FD3D38" w:rsidP="00CF3DAE">
            <w:pPr>
              <w:spacing w:after="0" w:line="240" w:lineRule="auto"/>
              <w:jc w:val="center"/>
              <w:rPr>
                <w:rFonts w:ascii="Arial" w:eastAsia="Batang" w:hAnsi="Arial" w:cs="Arial"/>
                <w:bCs/>
                <w:lang w:eastAsia="ko-KR"/>
              </w:rPr>
            </w:pPr>
            <w:r w:rsidRPr="0029164E">
              <w:rPr>
                <w:rFonts w:ascii="Arial" w:eastAsia="Batang" w:hAnsi="Arial" w:cs="Arial"/>
                <w:bCs/>
                <w:lang w:eastAsia="ko-KR"/>
              </w:rPr>
              <w:t>21%</w:t>
            </w:r>
          </w:p>
        </w:tc>
        <w:tc>
          <w:tcPr>
            <w:tcW w:w="1080" w:type="dxa"/>
            <w:tcBorders>
              <w:top w:val="nil"/>
              <w:left w:val="nil"/>
              <w:bottom w:val="single" w:sz="8" w:space="0" w:color="auto"/>
              <w:right w:val="nil"/>
            </w:tcBorders>
            <w:noWrap/>
            <w:vAlign w:val="bottom"/>
          </w:tcPr>
          <w:p w:rsidR="00FD3D38" w:rsidRPr="0029164E" w:rsidRDefault="00FD3D38" w:rsidP="00CF3DAE">
            <w:pPr>
              <w:spacing w:after="0" w:line="240" w:lineRule="auto"/>
              <w:jc w:val="center"/>
              <w:rPr>
                <w:rFonts w:ascii="Arial" w:eastAsia="Batang" w:hAnsi="Arial" w:cs="Arial"/>
                <w:bCs/>
                <w:lang w:eastAsia="ko-KR"/>
              </w:rPr>
            </w:pPr>
            <w:r w:rsidRPr="0029164E">
              <w:rPr>
                <w:rFonts w:ascii="Arial" w:eastAsia="Batang" w:hAnsi="Arial" w:cs="Arial"/>
                <w:bCs/>
                <w:lang w:eastAsia="ko-KR"/>
              </w:rPr>
              <w:t>28%</w:t>
            </w:r>
          </w:p>
        </w:tc>
        <w:tc>
          <w:tcPr>
            <w:tcW w:w="1080" w:type="dxa"/>
            <w:tcBorders>
              <w:top w:val="nil"/>
              <w:left w:val="single" w:sz="8" w:space="0" w:color="auto"/>
              <w:bottom w:val="single" w:sz="8" w:space="0" w:color="auto"/>
              <w:right w:val="single" w:sz="8" w:space="0" w:color="auto"/>
            </w:tcBorders>
            <w:noWrap/>
            <w:vAlign w:val="bottom"/>
          </w:tcPr>
          <w:p w:rsidR="00FD3D38" w:rsidRPr="0029164E" w:rsidRDefault="00FD3D38" w:rsidP="00CF3DAE">
            <w:pPr>
              <w:spacing w:after="0" w:line="240" w:lineRule="auto"/>
              <w:jc w:val="center"/>
              <w:rPr>
                <w:rFonts w:ascii="Arial" w:eastAsia="Batang" w:hAnsi="Arial" w:cs="Arial"/>
                <w:bCs/>
                <w:lang w:eastAsia="ko-KR"/>
              </w:rPr>
            </w:pPr>
            <w:r w:rsidRPr="0029164E">
              <w:rPr>
                <w:rFonts w:ascii="Arial" w:eastAsia="Batang" w:hAnsi="Arial" w:cs="Arial"/>
                <w:bCs/>
                <w:lang w:eastAsia="ko-KR"/>
              </w:rPr>
              <w:t>32%</w:t>
            </w:r>
          </w:p>
        </w:tc>
        <w:tc>
          <w:tcPr>
            <w:tcW w:w="1260" w:type="dxa"/>
            <w:tcBorders>
              <w:top w:val="nil"/>
              <w:left w:val="nil"/>
              <w:bottom w:val="single" w:sz="8" w:space="0" w:color="auto"/>
              <w:right w:val="single" w:sz="8" w:space="0" w:color="auto"/>
            </w:tcBorders>
            <w:noWrap/>
            <w:vAlign w:val="bottom"/>
          </w:tcPr>
          <w:p w:rsidR="00FD3D38" w:rsidRPr="0029164E" w:rsidRDefault="00FD3D38" w:rsidP="00CF3DAE">
            <w:pPr>
              <w:spacing w:after="0" w:line="240" w:lineRule="auto"/>
              <w:jc w:val="center"/>
              <w:rPr>
                <w:rFonts w:ascii="Arial" w:eastAsia="Batang" w:hAnsi="Arial" w:cs="Arial"/>
                <w:bCs/>
                <w:lang w:eastAsia="ko-KR"/>
              </w:rPr>
            </w:pPr>
            <w:r w:rsidRPr="0029164E">
              <w:rPr>
                <w:rFonts w:ascii="Arial" w:eastAsia="Batang" w:hAnsi="Arial" w:cs="Arial"/>
                <w:bCs/>
                <w:lang w:eastAsia="ko-KR"/>
              </w:rPr>
              <w:t>34%</w:t>
            </w:r>
          </w:p>
        </w:tc>
      </w:tr>
    </w:tbl>
    <w:p w:rsidR="00FD3D38" w:rsidRDefault="00FD3D38" w:rsidP="004D5647">
      <w:pPr>
        <w:jc w:val="both"/>
        <w:rPr>
          <w:i/>
        </w:rPr>
      </w:pPr>
    </w:p>
    <w:p w:rsidR="00FD3D38" w:rsidRPr="005937FF" w:rsidRDefault="00FD3D38" w:rsidP="00AE7184">
      <w:pPr>
        <w:spacing w:after="0"/>
        <w:rPr>
          <w:rFonts w:cs="Calibri"/>
          <w:b/>
          <w:sz w:val="28"/>
          <w:szCs w:val="28"/>
          <w:u w:val="single"/>
        </w:rPr>
      </w:pPr>
      <w:r w:rsidRPr="005937FF">
        <w:rPr>
          <w:rFonts w:cs="Calibri"/>
          <w:b/>
          <w:sz w:val="28"/>
          <w:szCs w:val="28"/>
          <w:u w:val="single"/>
        </w:rPr>
        <w:t xml:space="preserve">Endeavors by the State Bank of Pakistan </w:t>
      </w:r>
    </w:p>
    <w:p w:rsidR="00FD3D38" w:rsidRPr="00A92746" w:rsidRDefault="00FD3D38" w:rsidP="00AE7184">
      <w:pPr>
        <w:spacing w:after="0"/>
        <w:rPr>
          <w:rFonts w:cs="Calibri"/>
          <w:b/>
          <w:u w:val="single"/>
        </w:rPr>
      </w:pPr>
    </w:p>
    <w:p w:rsidR="00FD3D38" w:rsidRPr="005937FF" w:rsidRDefault="00FD3D38" w:rsidP="00AE7184">
      <w:pPr>
        <w:pStyle w:val="ListParagraph"/>
        <w:numPr>
          <w:ilvl w:val="0"/>
          <w:numId w:val="11"/>
        </w:numPr>
        <w:spacing w:after="0"/>
        <w:jc w:val="both"/>
        <w:rPr>
          <w:rFonts w:cs="Calibri"/>
          <w:b/>
          <w:sz w:val="24"/>
          <w:szCs w:val="24"/>
          <w:u w:val="single"/>
        </w:rPr>
      </w:pPr>
      <w:r w:rsidRPr="005937FF">
        <w:rPr>
          <w:rFonts w:cs="Calibri"/>
          <w:b/>
          <w:sz w:val="24"/>
          <w:szCs w:val="24"/>
          <w:u w:val="single"/>
        </w:rPr>
        <w:t>Separate PRs for Housing Finance</w:t>
      </w:r>
    </w:p>
    <w:p w:rsidR="00FD3D38" w:rsidRDefault="00FD3D38" w:rsidP="00AE7184">
      <w:pPr>
        <w:spacing w:after="0"/>
        <w:jc w:val="both"/>
        <w:rPr>
          <w:rFonts w:cs="Calibri"/>
        </w:rPr>
      </w:pPr>
      <w:r w:rsidRPr="00A92746">
        <w:rPr>
          <w:rFonts w:cs="Calibri"/>
        </w:rPr>
        <w:t>The separate set of Prudential Regulations (PRs) for housing finance w</w:t>
      </w:r>
      <w:r>
        <w:rPr>
          <w:rFonts w:cs="Calibri"/>
        </w:rPr>
        <w:t>ere</w:t>
      </w:r>
      <w:r w:rsidRPr="00A92746">
        <w:rPr>
          <w:rFonts w:cs="Calibri"/>
        </w:rPr>
        <w:t xml:space="preserve"> prepared </w:t>
      </w:r>
      <w:r>
        <w:rPr>
          <w:rFonts w:cs="Calibri"/>
        </w:rPr>
        <w:t xml:space="preserve">by SBP </w:t>
      </w:r>
      <w:r w:rsidRPr="00A92746">
        <w:rPr>
          <w:rFonts w:cs="Calibri"/>
        </w:rPr>
        <w:t>and shared with the stakeholders for their feedback/comments. The comments have been incorporated in PRs. Currently, the draft PRs are being further reviewed internally and would soon be discussed in the Banking Policy Committee (BPC).</w:t>
      </w:r>
    </w:p>
    <w:p w:rsidR="00FD3D38" w:rsidRPr="005937FF" w:rsidRDefault="00FD3D38" w:rsidP="00AE7184">
      <w:pPr>
        <w:pStyle w:val="ListParagraph"/>
        <w:numPr>
          <w:ilvl w:val="0"/>
          <w:numId w:val="10"/>
        </w:numPr>
        <w:spacing w:before="240" w:after="0"/>
        <w:jc w:val="both"/>
        <w:rPr>
          <w:rFonts w:cs="Calibri"/>
          <w:b/>
          <w:sz w:val="24"/>
          <w:szCs w:val="24"/>
          <w:u w:val="single"/>
        </w:rPr>
      </w:pPr>
      <w:r w:rsidRPr="005937FF">
        <w:rPr>
          <w:rFonts w:cs="Calibri"/>
          <w:b/>
          <w:sz w:val="24"/>
          <w:szCs w:val="24"/>
          <w:u w:val="single"/>
        </w:rPr>
        <w:t>Setting up of PMRC</w:t>
      </w:r>
    </w:p>
    <w:p w:rsidR="00FD3D38" w:rsidRPr="00A92746" w:rsidRDefault="00FD3D38" w:rsidP="00AE7184">
      <w:pPr>
        <w:spacing w:after="240"/>
        <w:jc w:val="both"/>
        <w:rPr>
          <w:rFonts w:cs="Calibri"/>
        </w:rPr>
      </w:pPr>
      <w:r w:rsidRPr="00A92746">
        <w:rPr>
          <w:rFonts w:cs="Calibri"/>
        </w:rPr>
        <w:t>SBP, being the facilitator, had made significant progress since the development of feasibility report and business plan in year 2009 by IFC. G</w:t>
      </w:r>
      <w:r>
        <w:rPr>
          <w:rFonts w:cs="Calibri"/>
        </w:rPr>
        <w:t>O</w:t>
      </w:r>
      <w:r w:rsidRPr="00A92746">
        <w:rPr>
          <w:rFonts w:cs="Calibri"/>
        </w:rPr>
        <w:t xml:space="preserve">P has committed </w:t>
      </w:r>
      <w:proofErr w:type="spellStart"/>
      <w:r w:rsidRPr="00A92746">
        <w:rPr>
          <w:rFonts w:cs="Calibri"/>
        </w:rPr>
        <w:t>Rs</w:t>
      </w:r>
      <w:proofErr w:type="spellEnd"/>
      <w:r w:rsidRPr="00A92746">
        <w:rPr>
          <w:rFonts w:cs="Calibri"/>
        </w:rPr>
        <w:t xml:space="preserve">. 1.2 billion (20 percent of the equity of </w:t>
      </w:r>
      <w:proofErr w:type="spellStart"/>
      <w:r w:rsidRPr="00A92746">
        <w:rPr>
          <w:rFonts w:cs="Calibri"/>
        </w:rPr>
        <w:t>Rs</w:t>
      </w:r>
      <w:proofErr w:type="spellEnd"/>
      <w:r w:rsidRPr="00A92746">
        <w:rPr>
          <w:rFonts w:cs="Calibri"/>
        </w:rPr>
        <w:t xml:space="preserve">. Six billion), commercial banks/DFIs &amp; HBFCL, on consolidated basis, committed the equity of </w:t>
      </w:r>
      <w:proofErr w:type="spellStart"/>
      <w:r w:rsidRPr="00A92746">
        <w:rPr>
          <w:rFonts w:cs="Calibri"/>
        </w:rPr>
        <w:t>Rs</w:t>
      </w:r>
      <w:proofErr w:type="spellEnd"/>
      <w:r w:rsidRPr="00A92746">
        <w:rPr>
          <w:rFonts w:cs="Calibri"/>
        </w:rPr>
        <w:t xml:space="preserve">. 3.2 billion (53 percent of minimum regulatory capital) and IFC &amp; ADB, in principally, agreed to participate </w:t>
      </w:r>
      <w:proofErr w:type="spellStart"/>
      <w:r w:rsidRPr="00A92746">
        <w:rPr>
          <w:rFonts w:cs="Calibri"/>
        </w:rPr>
        <w:t>Rs</w:t>
      </w:r>
      <w:proofErr w:type="spellEnd"/>
      <w:r w:rsidRPr="00A92746">
        <w:rPr>
          <w:rFonts w:cs="Calibri"/>
        </w:rPr>
        <w:t>. 900 million (15 percent of total equity) each.</w:t>
      </w:r>
    </w:p>
    <w:p w:rsidR="00FD3D38" w:rsidRDefault="00FD3D38" w:rsidP="00AE7184">
      <w:pPr>
        <w:spacing w:after="0"/>
        <w:jc w:val="both"/>
        <w:rPr>
          <w:rFonts w:cs="Calibri"/>
        </w:rPr>
      </w:pPr>
      <w:r w:rsidRPr="00A92746">
        <w:rPr>
          <w:rFonts w:cs="Calibri"/>
        </w:rPr>
        <w:t>Process of revalidation of feasibility and business plan of the proposed entity according to current scenario is underway.</w:t>
      </w:r>
    </w:p>
    <w:p w:rsidR="00FD3D38" w:rsidRDefault="00FD3D38" w:rsidP="00AE7184">
      <w:pPr>
        <w:spacing w:after="0"/>
        <w:jc w:val="both"/>
        <w:rPr>
          <w:rFonts w:cs="Calibri"/>
        </w:rPr>
      </w:pPr>
    </w:p>
    <w:p w:rsidR="00FD3D38" w:rsidRPr="005937FF" w:rsidRDefault="00FD3D38" w:rsidP="00AE7184">
      <w:pPr>
        <w:pStyle w:val="ListParagraph"/>
        <w:numPr>
          <w:ilvl w:val="0"/>
          <w:numId w:val="11"/>
        </w:numPr>
        <w:spacing w:before="240" w:after="0"/>
        <w:jc w:val="both"/>
        <w:rPr>
          <w:rFonts w:cs="Calibri"/>
          <w:b/>
          <w:sz w:val="24"/>
          <w:szCs w:val="24"/>
          <w:u w:val="single"/>
        </w:rPr>
      </w:pPr>
      <w:r w:rsidRPr="005937FF">
        <w:rPr>
          <w:rFonts w:cs="Calibri"/>
          <w:b/>
          <w:sz w:val="24"/>
          <w:szCs w:val="24"/>
          <w:u w:val="single"/>
        </w:rPr>
        <w:lastRenderedPageBreak/>
        <w:t>Mortgage Guidelines</w:t>
      </w:r>
    </w:p>
    <w:p w:rsidR="00FD3D38" w:rsidRDefault="00FD3D38" w:rsidP="00AE7184">
      <w:pPr>
        <w:spacing w:after="0"/>
        <w:jc w:val="both"/>
        <w:rPr>
          <w:rFonts w:cs="Calibri"/>
        </w:rPr>
      </w:pPr>
      <w:r w:rsidRPr="00A92746">
        <w:rPr>
          <w:rFonts w:cs="Calibri"/>
        </w:rPr>
        <w:t xml:space="preserve">The draft guidelines were shared with </w:t>
      </w:r>
      <w:r>
        <w:rPr>
          <w:rFonts w:cs="Calibri"/>
        </w:rPr>
        <w:t xml:space="preserve">the </w:t>
      </w:r>
      <w:r w:rsidRPr="00A92746">
        <w:rPr>
          <w:rFonts w:cs="Calibri"/>
        </w:rPr>
        <w:t>stake-holders.</w:t>
      </w:r>
      <w:r>
        <w:rPr>
          <w:rFonts w:cs="Calibri"/>
        </w:rPr>
        <w:t xml:space="preserve"> These draft guidelines are internally under discussion in SBP  </w:t>
      </w:r>
      <w:r w:rsidRPr="00A92746">
        <w:rPr>
          <w:rFonts w:cs="Calibri"/>
        </w:rPr>
        <w:t>before formal dissemination to banks/DFIs.</w:t>
      </w:r>
    </w:p>
    <w:p w:rsidR="00FD3D38" w:rsidRPr="00A92746" w:rsidRDefault="00FD3D38" w:rsidP="00AE7184">
      <w:pPr>
        <w:spacing w:after="0"/>
        <w:jc w:val="both"/>
        <w:rPr>
          <w:rFonts w:cs="Calibri"/>
        </w:rPr>
      </w:pPr>
    </w:p>
    <w:p w:rsidR="00FD3D38" w:rsidRPr="005937FF" w:rsidRDefault="00FD3D38" w:rsidP="00AE7184">
      <w:pPr>
        <w:pStyle w:val="ListParagraph"/>
        <w:numPr>
          <w:ilvl w:val="0"/>
          <w:numId w:val="11"/>
        </w:numPr>
        <w:spacing w:before="240" w:after="0"/>
        <w:jc w:val="both"/>
        <w:rPr>
          <w:rFonts w:cs="Calibri"/>
          <w:b/>
          <w:sz w:val="24"/>
          <w:szCs w:val="24"/>
          <w:u w:val="single"/>
        </w:rPr>
      </w:pPr>
      <w:r w:rsidRPr="005937FF">
        <w:rPr>
          <w:rFonts w:cs="Calibri"/>
          <w:b/>
          <w:sz w:val="24"/>
          <w:szCs w:val="24"/>
          <w:u w:val="single"/>
        </w:rPr>
        <w:t xml:space="preserve">Guidelines for Financing to Housing Developers/Builders </w:t>
      </w:r>
    </w:p>
    <w:p w:rsidR="00FD3D38" w:rsidRDefault="00FD3D38" w:rsidP="00AE7184">
      <w:pPr>
        <w:spacing w:after="0"/>
        <w:jc w:val="both"/>
        <w:rPr>
          <w:rFonts w:cs="Calibri"/>
        </w:rPr>
      </w:pPr>
      <w:r w:rsidRPr="00A92746">
        <w:rPr>
          <w:rFonts w:cs="Calibri"/>
        </w:rPr>
        <w:t xml:space="preserve">The draft guidelines, after consultation and sharing with stake-holders are </w:t>
      </w:r>
      <w:r>
        <w:rPr>
          <w:rFonts w:cs="Calibri"/>
        </w:rPr>
        <w:t xml:space="preserve">under internal review at SBP, </w:t>
      </w:r>
      <w:r w:rsidRPr="00A92746">
        <w:rPr>
          <w:rFonts w:cs="Calibri"/>
        </w:rPr>
        <w:t>before formal approval from SBP higher management for dissemination to banks/DFIs.</w:t>
      </w:r>
    </w:p>
    <w:p w:rsidR="00FD3D38" w:rsidRPr="005937FF" w:rsidRDefault="00FD3D38" w:rsidP="00AE7184">
      <w:pPr>
        <w:pStyle w:val="ListParagraph"/>
        <w:numPr>
          <w:ilvl w:val="0"/>
          <w:numId w:val="11"/>
        </w:numPr>
        <w:spacing w:before="240" w:after="0"/>
        <w:jc w:val="both"/>
        <w:rPr>
          <w:rFonts w:cs="Calibri"/>
          <w:b/>
          <w:sz w:val="24"/>
          <w:szCs w:val="24"/>
          <w:u w:val="single"/>
        </w:rPr>
      </w:pPr>
      <w:r w:rsidRPr="005937FF">
        <w:rPr>
          <w:rFonts w:cs="Calibri"/>
          <w:b/>
          <w:sz w:val="24"/>
          <w:szCs w:val="24"/>
          <w:u w:val="single"/>
        </w:rPr>
        <w:t>Follow-up and implementation of recommendations of Housing Advisory Group (HAG)</w:t>
      </w:r>
    </w:p>
    <w:p w:rsidR="00FD3D38" w:rsidRDefault="00FD3D38" w:rsidP="00AE7184">
      <w:pPr>
        <w:spacing w:after="240"/>
        <w:jc w:val="both"/>
        <w:rPr>
          <w:rFonts w:cs="Calibri"/>
        </w:rPr>
      </w:pPr>
      <w:r w:rsidRPr="00A92746">
        <w:rPr>
          <w:rFonts w:cs="Calibri"/>
        </w:rPr>
        <w:t>Almost all the actions pertaining to SBP, as mentioned in HAG recommendations have been initiated. Printed copy of HAG recommendations ha</w:t>
      </w:r>
      <w:r>
        <w:rPr>
          <w:rFonts w:cs="Calibri"/>
        </w:rPr>
        <w:t>ve</w:t>
      </w:r>
      <w:r w:rsidRPr="00A92746">
        <w:rPr>
          <w:rFonts w:cs="Calibri"/>
        </w:rPr>
        <w:t xml:space="preserve"> been shared with all the implementing agencies. Presentation on HAG recommendations were made to different government departments to expedite work on implementing the HAG recommendations.</w:t>
      </w:r>
    </w:p>
    <w:p w:rsidR="00FD3D38" w:rsidRPr="005937FF" w:rsidRDefault="00FD3D38" w:rsidP="00D638DD">
      <w:pPr>
        <w:pStyle w:val="ListParagraph"/>
        <w:numPr>
          <w:ilvl w:val="0"/>
          <w:numId w:val="10"/>
        </w:numPr>
        <w:spacing w:before="240" w:after="0"/>
        <w:rPr>
          <w:rFonts w:cs="Calibri"/>
          <w:b/>
          <w:sz w:val="24"/>
          <w:szCs w:val="24"/>
          <w:u w:val="single"/>
        </w:rPr>
      </w:pPr>
      <w:r w:rsidRPr="005937FF">
        <w:rPr>
          <w:rFonts w:cs="Calibri"/>
          <w:b/>
          <w:sz w:val="24"/>
          <w:szCs w:val="24"/>
          <w:u w:val="single"/>
        </w:rPr>
        <w:t>Housing Information System (Housing Observatory), starting with strengthening of Housing Finance /Data/Information at SBP</w:t>
      </w:r>
    </w:p>
    <w:p w:rsidR="00FD3D38" w:rsidRDefault="00FD3D38" w:rsidP="00CE032A">
      <w:pPr>
        <w:spacing w:after="0"/>
        <w:jc w:val="both"/>
        <w:rPr>
          <w:rFonts w:cs="Calibri"/>
        </w:rPr>
      </w:pPr>
      <w:r w:rsidRPr="00A92746">
        <w:rPr>
          <w:rFonts w:cs="Calibri"/>
        </w:rPr>
        <w:t xml:space="preserve">A Housing Observatory is meant to work as an information hub pertaining to housing and housing finance related areas, useful for all decision makers at federal and provincial/local level. A concept paper on the formation of Housing Observatory has been prepared </w:t>
      </w:r>
      <w:r>
        <w:rPr>
          <w:rFonts w:cs="Calibri"/>
        </w:rPr>
        <w:t xml:space="preserve">by SBP </w:t>
      </w:r>
      <w:r w:rsidRPr="00A92746">
        <w:rPr>
          <w:rFonts w:cs="Calibri"/>
        </w:rPr>
        <w:t xml:space="preserve">and shared with the relevant stake-holders for their views and comments. </w:t>
      </w:r>
    </w:p>
    <w:p w:rsidR="00FD3D38" w:rsidRDefault="00FD3D38" w:rsidP="00CE032A">
      <w:pPr>
        <w:spacing w:after="0"/>
        <w:jc w:val="both"/>
        <w:rPr>
          <w:rFonts w:cs="Calibri"/>
        </w:rPr>
      </w:pPr>
    </w:p>
    <w:p w:rsidR="00FD3D38" w:rsidRPr="005937FF" w:rsidRDefault="00FD3D38" w:rsidP="00CE032A">
      <w:pPr>
        <w:pStyle w:val="ListParagraph"/>
        <w:numPr>
          <w:ilvl w:val="0"/>
          <w:numId w:val="10"/>
        </w:numPr>
        <w:spacing w:after="0"/>
        <w:jc w:val="both"/>
        <w:rPr>
          <w:rFonts w:cs="Calibri"/>
          <w:b/>
          <w:sz w:val="24"/>
          <w:szCs w:val="24"/>
          <w:u w:val="single"/>
        </w:rPr>
      </w:pPr>
      <w:r w:rsidRPr="005937FF">
        <w:rPr>
          <w:rFonts w:cs="Calibri"/>
          <w:b/>
          <w:sz w:val="24"/>
          <w:szCs w:val="24"/>
          <w:u w:val="single"/>
        </w:rPr>
        <w:t>Housing Finance Product Development and Diversification</w:t>
      </w:r>
    </w:p>
    <w:p w:rsidR="00FD3D38" w:rsidRDefault="00FD3D38" w:rsidP="00AE7184">
      <w:pPr>
        <w:spacing w:after="240"/>
        <w:jc w:val="both"/>
        <w:rPr>
          <w:rFonts w:cs="Calibri"/>
        </w:rPr>
      </w:pPr>
      <w:r w:rsidRPr="00A92746">
        <w:rPr>
          <w:rFonts w:cs="Calibri"/>
        </w:rPr>
        <w:t>The Housing Finance Consultative Group (HFCG) consisting of various stake-holders has been constituted to discuss and explore ways for enhancing housing finance outreach. The first meeting of HFCG was held on May 6, 2013. HFCG will also work on different suitable products for low and middle income groups.</w:t>
      </w:r>
    </w:p>
    <w:p w:rsidR="00FD3D38" w:rsidRPr="005937FF" w:rsidRDefault="00FD3D38" w:rsidP="00D638DD">
      <w:pPr>
        <w:pStyle w:val="ListParagraph"/>
        <w:numPr>
          <w:ilvl w:val="0"/>
          <w:numId w:val="10"/>
        </w:numPr>
        <w:spacing w:before="240" w:after="0"/>
        <w:rPr>
          <w:rFonts w:cs="Calibri"/>
          <w:b/>
          <w:sz w:val="24"/>
          <w:szCs w:val="24"/>
          <w:u w:val="single"/>
        </w:rPr>
      </w:pPr>
      <w:r w:rsidRPr="005937FF">
        <w:rPr>
          <w:rFonts w:cs="Calibri"/>
          <w:b/>
          <w:sz w:val="24"/>
          <w:szCs w:val="24"/>
          <w:u w:val="single"/>
        </w:rPr>
        <w:t>Housing Microfinance Regime</w:t>
      </w:r>
    </w:p>
    <w:p w:rsidR="00FD3D38" w:rsidRDefault="00FD3D38" w:rsidP="00AE7184">
      <w:pPr>
        <w:spacing w:after="0"/>
        <w:jc w:val="both"/>
        <w:rPr>
          <w:rFonts w:cs="Calibri"/>
        </w:rPr>
      </w:pPr>
      <w:r w:rsidRPr="00A92746">
        <w:rPr>
          <w:rFonts w:cs="Calibri"/>
        </w:rPr>
        <w:t>The working group on Housing Microfinance has been constituted which had two meetings. The group will work on products for low income groups and recommendation to flourish housing microfinance.</w:t>
      </w:r>
    </w:p>
    <w:p w:rsidR="00FD3D38" w:rsidRDefault="00FD3D38" w:rsidP="00AE7184">
      <w:pPr>
        <w:spacing w:after="0"/>
        <w:jc w:val="both"/>
        <w:rPr>
          <w:rFonts w:cs="Calibri"/>
        </w:rPr>
      </w:pPr>
    </w:p>
    <w:p w:rsidR="00FD3D38" w:rsidRPr="005937FF" w:rsidRDefault="00FD3D38" w:rsidP="00D638DD">
      <w:pPr>
        <w:pStyle w:val="ListParagraph"/>
        <w:numPr>
          <w:ilvl w:val="0"/>
          <w:numId w:val="10"/>
        </w:numPr>
        <w:spacing w:after="0"/>
        <w:rPr>
          <w:rFonts w:cs="Calibri"/>
          <w:b/>
          <w:sz w:val="24"/>
          <w:szCs w:val="24"/>
          <w:u w:val="single"/>
        </w:rPr>
      </w:pPr>
      <w:r w:rsidRPr="005937FF">
        <w:rPr>
          <w:rFonts w:cs="Calibri"/>
          <w:b/>
          <w:sz w:val="24"/>
          <w:szCs w:val="24"/>
          <w:u w:val="single"/>
        </w:rPr>
        <w:t>Recovery Laws &amp; Provisioning requirements</w:t>
      </w:r>
    </w:p>
    <w:p w:rsidR="00FD3D38" w:rsidRDefault="00FD3D38" w:rsidP="00D23CE9">
      <w:pPr>
        <w:spacing w:after="0"/>
        <w:jc w:val="both"/>
      </w:pPr>
      <w:r>
        <w:t>T</w:t>
      </w:r>
      <w:r w:rsidRPr="007B1BC8">
        <w:t>he</w:t>
      </w:r>
      <w:r>
        <w:t>re is a</w:t>
      </w:r>
      <w:r w:rsidRPr="007B1BC8">
        <w:t xml:space="preserve"> need for urgent review of </w:t>
      </w:r>
      <w:r>
        <w:t xml:space="preserve">Recovery Laws and also </w:t>
      </w:r>
      <w:r w:rsidRPr="007B1BC8">
        <w:t xml:space="preserve">provisioning/classification requirements and FSV estimation for housing finance considering the nature and features of mortgage finance, which are distinct from other consumer finance constituents. </w:t>
      </w:r>
    </w:p>
    <w:p w:rsidR="00FD3D38" w:rsidRPr="00A92746" w:rsidRDefault="00FD3D38" w:rsidP="00D23CE9">
      <w:pPr>
        <w:spacing w:after="0"/>
        <w:jc w:val="both"/>
        <w:rPr>
          <w:rFonts w:cs="Calibri"/>
        </w:rPr>
      </w:pPr>
    </w:p>
    <w:p w:rsidR="00FD3D38" w:rsidRPr="00932A21" w:rsidRDefault="00FD3D38" w:rsidP="00115593">
      <w:pPr>
        <w:jc w:val="both"/>
        <w:rPr>
          <w:rFonts w:cs="Calibri"/>
          <w:b/>
          <w:sz w:val="28"/>
          <w:szCs w:val="28"/>
          <w:u w:val="single"/>
        </w:rPr>
      </w:pPr>
      <w:r w:rsidRPr="00932A21">
        <w:rPr>
          <w:rFonts w:cs="Calibri"/>
          <w:b/>
          <w:sz w:val="28"/>
          <w:szCs w:val="28"/>
          <w:u w:val="single"/>
        </w:rPr>
        <w:t xml:space="preserve">Conclusion </w:t>
      </w:r>
    </w:p>
    <w:p w:rsidR="00FD3D38" w:rsidRPr="00932A21" w:rsidRDefault="00FD3D38" w:rsidP="00746E3D">
      <w:pPr>
        <w:pStyle w:val="ListParagraph"/>
        <w:spacing w:after="0" w:line="240" w:lineRule="auto"/>
        <w:ind w:left="0"/>
        <w:jc w:val="both"/>
        <w:rPr>
          <w:rFonts w:cs="Calibri"/>
        </w:rPr>
      </w:pPr>
      <w:r w:rsidRPr="00932A21">
        <w:t>Development of Housing and Real Estate Sector has a direct impact on GDP growth, growth of Financial Sector, Construction Material Industry, Employment; Capital Market as well as Insurance Industry.  Also, providing shelter to the masses is the mandate of every government. Hence the Government must take serious actions to reduce the shortages of houses in rapid urbanization. Most of the recommendations made by HAG pertain to the government institutions. There is need to take action for the implementation of HAG recommendations and collaborate with SBP for the involvement of financial institutions.</w:t>
      </w:r>
    </w:p>
    <w:p w:rsidR="00FD3D38" w:rsidRPr="00932A21" w:rsidRDefault="00FD3D38" w:rsidP="00A86A5F">
      <w:pPr>
        <w:autoSpaceDE w:val="0"/>
        <w:autoSpaceDN w:val="0"/>
        <w:adjustRightInd w:val="0"/>
        <w:jc w:val="both"/>
        <w:rPr>
          <w:rFonts w:ascii="Helv" w:hAnsi="Helv" w:cs="Helv"/>
          <w:color w:val="000000"/>
          <w:sz w:val="20"/>
          <w:szCs w:val="20"/>
        </w:rPr>
      </w:pPr>
      <w:r w:rsidRPr="00932A21">
        <w:rPr>
          <w:rFonts w:cs="Calibri"/>
          <w:color w:val="000000"/>
        </w:rPr>
        <w:lastRenderedPageBreak/>
        <w:t xml:space="preserve">In order to achieve the objective to improve mortgage-to-GDP ratio from existing 0.66% to say </w:t>
      </w:r>
      <w:r w:rsidRPr="00932A21">
        <w:rPr>
          <w:rFonts w:cs="Calibri"/>
          <w:b/>
          <w:color w:val="000000"/>
        </w:rPr>
        <w:t>2-3%,</w:t>
      </w:r>
      <w:r w:rsidRPr="00932A21">
        <w:rPr>
          <w:rFonts w:cs="Calibri"/>
          <w:color w:val="000000"/>
        </w:rPr>
        <w:t xml:space="preserve"> the State Bank of Pakistan can play a vital role.  SBP may take following initiatives on immediate basis.</w:t>
      </w:r>
    </w:p>
    <w:p w:rsidR="00FD3D38" w:rsidRPr="00932A21" w:rsidRDefault="00FD3D38" w:rsidP="00A86A5F">
      <w:pPr>
        <w:numPr>
          <w:ilvl w:val="0"/>
          <w:numId w:val="21"/>
        </w:numPr>
        <w:autoSpaceDE w:val="0"/>
        <w:autoSpaceDN w:val="0"/>
        <w:adjustRightInd w:val="0"/>
        <w:spacing w:after="0" w:line="240" w:lineRule="auto"/>
        <w:jc w:val="both"/>
        <w:rPr>
          <w:rFonts w:cs="Calibri"/>
        </w:rPr>
      </w:pPr>
      <w:r w:rsidRPr="00932A21">
        <w:rPr>
          <w:rFonts w:cs="Calibri"/>
        </w:rPr>
        <w:t xml:space="preserve">SBP should call a meeting of CEOs of all the banks and present them the current housing finance situation and also motivate them to take measures to enhance housing finance in their respective banks. Currently only few banks are catering Housing Finance Facility. SBP should instruct all commercial banks to start housing finance. </w:t>
      </w:r>
    </w:p>
    <w:p w:rsidR="00FD3D38" w:rsidRPr="00932A21" w:rsidRDefault="00FD3D38" w:rsidP="00A86A5F">
      <w:pPr>
        <w:autoSpaceDE w:val="0"/>
        <w:autoSpaceDN w:val="0"/>
        <w:adjustRightInd w:val="0"/>
        <w:jc w:val="both"/>
        <w:rPr>
          <w:rFonts w:cs="Calibri"/>
        </w:rPr>
      </w:pPr>
    </w:p>
    <w:p w:rsidR="00FD3D38" w:rsidRPr="00932A21" w:rsidRDefault="00FD3D38" w:rsidP="00A86A5F">
      <w:pPr>
        <w:numPr>
          <w:ilvl w:val="0"/>
          <w:numId w:val="21"/>
        </w:numPr>
        <w:autoSpaceDE w:val="0"/>
        <w:autoSpaceDN w:val="0"/>
        <w:adjustRightInd w:val="0"/>
        <w:spacing w:after="0" w:line="240" w:lineRule="auto"/>
        <w:jc w:val="both"/>
        <w:rPr>
          <w:rFonts w:cs="Calibri"/>
        </w:rPr>
      </w:pPr>
      <w:r w:rsidRPr="00932A21">
        <w:rPr>
          <w:rFonts w:cs="Calibri"/>
        </w:rPr>
        <w:t>SBP should encourage the banks to increase their housing finance portfolio at least up to a certain level (may be correlated to certain percentage of total consumer financing of the bank) by the end of some target deadline (say) Dec-2014.</w:t>
      </w:r>
    </w:p>
    <w:p w:rsidR="00FD3D38" w:rsidRPr="00932A21" w:rsidRDefault="00FD3D38" w:rsidP="00A86A5F">
      <w:pPr>
        <w:autoSpaceDE w:val="0"/>
        <w:autoSpaceDN w:val="0"/>
        <w:adjustRightInd w:val="0"/>
        <w:rPr>
          <w:rFonts w:cs="Calibri"/>
        </w:rPr>
      </w:pPr>
    </w:p>
    <w:p w:rsidR="00FD3D38" w:rsidRPr="00932A21" w:rsidRDefault="00FD3D38" w:rsidP="00566325">
      <w:pPr>
        <w:numPr>
          <w:ilvl w:val="0"/>
          <w:numId w:val="21"/>
        </w:numPr>
        <w:autoSpaceDE w:val="0"/>
        <w:autoSpaceDN w:val="0"/>
        <w:adjustRightInd w:val="0"/>
        <w:spacing w:after="0" w:line="240" w:lineRule="auto"/>
        <w:jc w:val="both"/>
        <w:rPr>
          <w:rFonts w:cs="Calibri"/>
        </w:rPr>
      </w:pPr>
      <w:r w:rsidRPr="00932A21">
        <w:rPr>
          <w:rFonts w:cs="Calibri"/>
        </w:rPr>
        <w:t xml:space="preserve">There should be one standard eligibility criteria for all banks. Currently eligibility criteria of some banks for housing finance is very strict. It should be relaxed and standard criteria should be observed by all banks. </w:t>
      </w:r>
    </w:p>
    <w:p w:rsidR="00FD3D38" w:rsidRPr="00932A21" w:rsidRDefault="00FD3D38" w:rsidP="00566325">
      <w:pPr>
        <w:autoSpaceDE w:val="0"/>
        <w:autoSpaceDN w:val="0"/>
        <w:adjustRightInd w:val="0"/>
        <w:spacing w:after="0" w:line="240" w:lineRule="auto"/>
        <w:jc w:val="both"/>
        <w:rPr>
          <w:rFonts w:cs="Calibri"/>
        </w:rPr>
      </w:pPr>
    </w:p>
    <w:p w:rsidR="00FD3D38" w:rsidRPr="00932A21" w:rsidRDefault="00FD3D38" w:rsidP="00566325">
      <w:pPr>
        <w:autoSpaceDE w:val="0"/>
        <w:autoSpaceDN w:val="0"/>
        <w:adjustRightInd w:val="0"/>
        <w:spacing w:after="0" w:line="240" w:lineRule="auto"/>
        <w:jc w:val="both"/>
        <w:rPr>
          <w:rFonts w:cs="Calibri"/>
        </w:rPr>
      </w:pPr>
    </w:p>
    <w:p w:rsidR="00FD3D38" w:rsidRPr="00932A21" w:rsidRDefault="00FD3D38" w:rsidP="00A45CED">
      <w:pPr>
        <w:numPr>
          <w:ilvl w:val="0"/>
          <w:numId w:val="21"/>
        </w:numPr>
        <w:autoSpaceDE w:val="0"/>
        <w:autoSpaceDN w:val="0"/>
        <w:adjustRightInd w:val="0"/>
        <w:spacing w:after="0" w:line="240" w:lineRule="auto"/>
        <w:jc w:val="both"/>
        <w:rPr>
          <w:rFonts w:cs="Calibri"/>
        </w:rPr>
      </w:pPr>
      <w:r w:rsidRPr="00932A21">
        <w:rPr>
          <w:rFonts w:cs="Calibri"/>
        </w:rPr>
        <w:t>As of March-2013, the outstanding of housing finance in the country was 53 Billion for commercial loans extended to the customer whereas the outstanding housing finance of bank employees was Rs.76 Billion. It reflects that the share of bank employees in housing finance is greater than the overall housing finance outstanding extended to others. This is mainly because bank employees get housing finance on subsidized rates.  Hence SBP should take measures to keep the housing finance rate at lower side. Banks should also be instructed by SBP that their profit margin on housing finance should not exceed from certain cap defined by SBP. (Banks should also take the housing finance as social responsibility and not as only profit generation mode).</w:t>
      </w:r>
    </w:p>
    <w:sectPr w:rsidR="00FD3D38" w:rsidRPr="00932A21" w:rsidSect="00EA06B1">
      <w:pgSz w:w="12240" w:h="15840"/>
      <w:pgMar w:top="1296" w:right="1440" w:bottom="80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CAE" w:rsidRDefault="009A2CAE" w:rsidP="00AE7184">
      <w:pPr>
        <w:spacing w:after="0" w:line="240" w:lineRule="auto"/>
      </w:pPr>
      <w:r>
        <w:separator/>
      </w:r>
    </w:p>
  </w:endnote>
  <w:endnote w:type="continuationSeparator" w:id="0">
    <w:p w:rsidR="009A2CAE" w:rsidRDefault="009A2CAE" w:rsidP="00AE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CAE" w:rsidRDefault="009A2CAE" w:rsidP="00AE7184">
      <w:pPr>
        <w:spacing w:after="0" w:line="240" w:lineRule="auto"/>
      </w:pPr>
      <w:r>
        <w:separator/>
      </w:r>
    </w:p>
  </w:footnote>
  <w:footnote w:type="continuationSeparator" w:id="0">
    <w:p w:rsidR="009A2CAE" w:rsidRDefault="009A2CAE" w:rsidP="00AE71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DD3"/>
    <w:multiLevelType w:val="hybridMultilevel"/>
    <w:tmpl w:val="EE34E31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0E03717"/>
    <w:multiLevelType w:val="hybridMultilevel"/>
    <w:tmpl w:val="73ECB44A"/>
    <w:lvl w:ilvl="0" w:tplc="4DA062C2">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0ADB32D7"/>
    <w:multiLevelType w:val="hybridMultilevel"/>
    <w:tmpl w:val="F2FEC1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E44A87"/>
    <w:multiLevelType w:val="hybridMultilevel"/>
    <w:tmpl w:val="E2CA19A4"/>
    <w:lvl w:ilvl="0" w:tplc="4DA062C2">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1A6435E6"/>
    <w:multiLevelType w:val="hybridMultilevel"/>
    <w:tmpl w:val="11BC9CAA"/>
    <w:lvl w:ilvl="0" w:tplc="8B4A0036">
      <w:start w:val="1"/>
      <w:numFmt w:val="bullet"/>
      <w:lvlText w:val=""/>
      <w:lvlJc w:val="left"/>
      <w:pPr>
        <w:tabs>
          <w:tab w:val="num" w:pos="720"/>
        </w:tabs>
        <w:ind w:left="720" w:hanging="360"/>
      </w:pPr>
      <w:rPr>
        <w:rFonts w:ascii="Wingdings" w:hAnsi="Wingdings" w:hint="default"/>
      </w:rPr>
    </w:lvl>
    <w:lvl w:ilvl="1" w:tplc="9452AD0E" w:tentative="1">
      <w:start w:val="1"/>
      <w:numFmt w:val="bullet"/>
      <w:lvlText w:val=""/>
      <w:lvlJc w:val="left"/>
      <w:pPr>
        <w:tabs>
          <w:tab w:val="num" w:pos="1440"/>
        </w:tabs>
        <w:ind w:left="1440" w:hanging="360"/>
      </w:pPr>
      <w:rPr>
        <w:rFonts w:ascii="Wingdings" w:hAnsi="Wingdings" w:hint="default"/>
      </w:rPr>
    </w:lvl>
    <w:lvl w:ilvl="2" w:tplc="828255E8">
      <w:start w:val="170"/>
      <w:numFmt w:val="bullet"/>
      <w:lvlText w:val=""/>
      <w:lvlJc w:val="left"/>
      <w:pPr>
        <w:tabs>
          <w:tab w:val="num" w:pos="2160"/>
        </w:tabs>
        <w:ind w:left="2160" w:hanging="360"/>
      </w:pPr>
      <w:rPr>
        <w:rFonts w:ascii="Wingdings" w:hAnsi="Wingdings" w:hint="default"/>
      </w:rPr>
    </w:lvl>
    <w:lvl w:ilvl="3" w:tplc="007874DA" w:tentative="1">
      <w:start w:val="1"/>
      <w:numFmt w:val="bullet"/>
      <w:lvlText w:val=""/>
      <w:lvlJc w:val="left"/>
      <w:pPr>
        <w:tabs>
          <w:tab w:val="num" w:pos="2880"/>
        </w:tabs>
        <w:ind w:left="2880" w:hanging="360"/>
      </w:pPr>
      <w:rPr>
        <w:rFonts w:ascii="Wingdings" w:hAnsi="Wingdings" w:hint="default"/>
      </w:rPr>
    </w:lvl>
    <w:lvl w:ilvl="4" w:tplc="5606A83A" w:tentative="1">
      <w:start w:val="1"/>
      <w:numFmt w:val="bullet"/>
      <w:lvlText w:val=""/>
      <w:lvlJc w:val="left"/>
      <w:pPr>
        <w:tabs>
          <w:tab w:val="num" w:pos="3600"/>
        </w:tabs>
        <w:ind w:left="3600" w:hanging="360"/>
      </w:pPr>
      <w:rPr>
        <w:rFonts w:ascii="Wingdings" w:hAnsi="Wingdings" w:hint="default"/>
      </w:rPr>
    </w:lvl>
    <w:lvl w:ilvl="5" w:tplc="4BB01A30" w:tentative="1">
      <w:start w:val="1"/>
      <w:numFmt w:val="bullet"/>
      <w:lvlText w:val=""/>
      <w:lvlJc w:val="left"/>
      <w:pPr>
        <w:tabs>
          <w:tab w:val="num" w:pos="4320"/>
        </w:tabs>
        <w:ind w:left="4320" w:hanging="360"/>
      </w:pPr>
      <w:rPr>
        <w:rFonts w:ascii="Wingdings" w:hAnsi="Wingdings" w:hint="default"/>
      </w:rPr>
    </w:lvl>
    <w:lvl w:ilvl="6" w:tplc="0554AE5A" w:tentative="1">
      <w:start w:val="1"/>
      <w:numFmt w:val="bullet"/>
      <w:lvlText w:val=""/>
      <w:lvlJc w:val="left"/>
      <w:pPr>
        <w:tabs>
          <w:tab w:val="num" w:pos="5040"/>
        </w:tabs>
        <w:ind w:left="5040" w:hanging="360"/>
      </w:pPr>
      <w:rPr>
        <w:rFonts w:ascii="Wingdings" w:hAnsi="Wingdings" w:hint="default"/>
      </w:rPr>
    </w:lvl>
    <w:lvl w:ilvl="7" w:tplc="5E5EBFCE" w:tentative="1">
      <w:start w:val="1"/>
      <w:numFmt w:val="bullet"/>
      <w:lvlText w:val=""/>
      <w:lvlJc w:val="left"/>
      <w:pPr>
        <w:tabs>
          <w:tab w:val="num" w:pos="5760"/>
        </w:tabs>
        <w:ind w:left="5760" w:hanging="360"/>
      </w:pPr>
      <w:rPr>
        <w:rFonts w:ascii="Wingdings" w:hAnsi="Wingdings" w:hint="default"/>
      </w:rPr>
    </w:lvl>
    <w:lvl w:ilvl="8" w:tplc="FAB2120A" w:tentative="1">
      <w:start w:val="1"/>
      <w:numFmt w:val="bullet"/>
      <w:lvlText w:val=""/>
      <w:lvlJc w:val="left"/>
      <w:pPr>
        <w:tabs>
          <w:tab w:val="num" w:pos="6480"/>
        </w:tabs>
        <w:ind w:left="6480" w:hanging="360"/>
      </w:pPr>
      <w:rPr>
        <w:rFonts w:ascii="Wingdings" w:hAnsi="Wingdings" w:hint="default"/>
      </w:rPr>
    </w:lvl>
  </w:abstractNum>
  <w:abstractNum w:abstractNumId="5">
    <w:nsid w:val="1E2C4048"/>
    <w:multiLevelType w:val="hybridMultilevel"/>
    <w:tmpl w:val="A60ED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38707B"/>
    <w:multiLevelType w:val="hybridMultilevel"/>
    <w:tmpl w:val="DA3253C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645FDE"/>
    <w:multiLevelType w:val="hybridMultilevel"/>
    <w:tmpl w:val="1F765206"/>
    <w:lvl w:ilvl="0" w:tplc="0E0093F2">
      <w:start w:val="1"/>
      <w:numFmt w:val="bullet"/>
      <w:lvlText w:val=""/>
      <w:lvlJc w:val="left"/>
      <w:pPr>
        <w:tabs>
          <w:tab w:val="num" w:pos="720"/>
        </w:tabs>
        <w:ind w:left="720" w:hanging="360"/>
      </w:pPr>
      <w:rPr>
        <w:rFonts w:ascii="Wingdings" w:hAnsi="Wingdings" w:hint="default"/>
      </w:rPr>
    </w:lvl>
    <w:lvl w:ilvl="1" w:tplc="26F037AA" w:tentative="1">
      <w:start w:val="1"/>
      <w:numFmt w:val="bullet"/>
      <w:lvlText w:val=""/>
      <w:lvlJc w:val="left"/>
      <w:pPr>
        <w:tabs>
          <w:tab w:val="num" w:pos="1440"/>
        </w:tabs>
        <w:ind w:left="1440" w:hanging="360"/>
      </w:pPr>
      <w:rPr>
        <w:rFonts w:ascii="Wingdings" w:hAnsi="Wingdings" w:hint="default"/>
      </w:rPr>
    </w:lvl>
    <w:lvl w:ilvl="2" w:tplc="BBDA4282">
      <w:start w:val="170"/>
      <w:numFmt w:val="bullet"/>
      <w:lvlText w:val=""/>
      <w:lvlJc w:val="left"/>
      <w:pPr>
        <w:tabs>
          <w:tab w:val="num" w:pos="2160"/>
        </w:tabs>
        <w:ind w:left="2160" w:hanging="360"/>
      </w:pPr>
      <w:rPr>
        <w:rFonts w:ascii="Wingdings" w:hAnsi="Wingdings" w:hint="default"/>
      </w:rPr>
    </w:lvl>
    <w:lvl w:ilvl="3" w:tplc="C862E4AA" w:tentative="1">
      <w:start w:val="1"/>
      <w:numFmt w:val="bullet"/>
      <w:lvlText w:val=""/>
      <w:lvlJc w:val="left"/>
      <w:pPr>
        <w:tabs>
          <w:tab w:val="num" w:pos="2880"/>
        </w:tabs>
        <w:ind w:left="2880" w:hanging="360"/>
      </w:pPr>
      <w:rPr>
        <w:rFonts w:ascii="Wingdings" w:hAnsi="Wingdings" w:hint="default"/>
      </w:rPr>
    </w:lvl>
    <w:lvl w:ilvl="4" w:tplc="0E5417DC" w:tentative="1">
      <w:start w:val="1"/>
      <w:numFmt w:val="bullet"/>
      <w:lvlText w:val=""/>
      <w:lvlJc w:val="left"/>
      <w:pPr>
        <w:tabs>
          <w:tab w:val="num" w:pos="3600"/>
        </w:tabs>
        <w:ind w:left="3600" w:hanging="360"/>
      </w:pPr>
      <w:rPr>
        <w:rFonts w:ascii="Wingdings" w:hAnsi="Wingdings" w:hint="default"/>
      </w:rPr>
    </w:lvl>
    <w:lvl w:ilvl="5" w:tplc="C27CC4A6" w:tentative="1">
      <w:start w:val="1"/>
      <w:numFmt w:val="bullet"/>
      <w:lvlText w:val=""/>
      <w:lvlJc w:val="left"/>
      <w:pPr>
        <w:tabs>
          <w:tab w:val="num" w:pos="4320"/>
        </w:tabs>
        <w:ind w:left="4320" w:hanging="360"/>
      </w:pPr>
      <w:rPr>
        <w:rFonts w:ascii="Wingdings" w:hAnsi="Wingdings" w:hint="default"/>
      </w:rPr>
    </w:lvl>
    <w:lvl w:ilvl="6" w:tplc="CAD4BB80" w:tentative="1">
      <w:start w:val="1"/>
      <w:numFmt w:val="bullet"/>
      <w:lvlText w:val=""/>
      <w:lvlJc w:val="left"/>
      <w:pPr>
        <w:tabs>
          <w:tab w:val="num" w:pos="5040"/>
        </w:tabs>
        <w:ind w:left="5040" w:hanging="360"/>
      </w:pPr>
      <w:rPr>
        <w:rFonts w:ascii="Wingdings" w:hAnsi="Wingdings" w:hint="default"/>
      </w:rPr>
    </w:lvl>
    <w:lvl w:ilvl="7" w:tplc="9CC22BA4" w:tentative="1">
      <w:start w:val="1"/>
      <w:numFmt w:val="bullet"/>
      <w:lvlText w:val=""/>
      <w:lvlJc w:val="left"/>
      <w:pPr>
        <w:tabs>
          <w:tab w:val="num" w:pos="5760"/>
        </w:tabs>
        <w:ind w:left="5760" w:hanging="360"/>
      </w:pPr>
      <w:rPr>
        <w:rFonts w:ascii="Wingdings" w:hAnsi="Wingdings" w:hint="default"/>
      </w:rPr>
    </w:lvl>
    <w:lvl w:ilvl="8" w:tplc="7E167388" w:tentative="1">
      <w:start w:val="1"/>
      <w:numFmt w:val="bullet"/>
      <w:lvlText w:val=""/>
      <w:lvlJc w:val="left"/>
      <w:pPr>
        <w:tabs>
          <w:tab w:val="num" w:pos="6480"/>
        </w:tabs>
        <w:ind w:left="6480" w:hanging="360"/>
      </w:pPr>
      <w:rPr>
        <w:rFonts w:ascii="Wingdings" w:hAnsi="Wingdings" w:hint="default"/>
      </w:rPr>
    </w:lvl>
  </w:abstractNum>
  <w:abstractNum w:abstractNumId="8">
    <w:nsid w:val="29351C3F"/>
    <w:multiLevelType w:val="hybridMultilevel"/>
    <w:tmpl w:val="2D0EBF3A"/>
    <w:lvl w:ilvl="0" w:tplc="81A2A0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2A361C06"/>
    <w:multiLevelType w:val="hybridMultilevel"/>
    <w:tmpl w:val="696A9C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A75770F"/>
    <w:multiLevelType w:val="hybridMultilevel"/>
    <w:tmpl w:val="DBAA8B9A"/>
    <w:lvl w:ilvl="0" w:tplc="0409000F">
      <w:start w:val="1"/>
      <w:numFmt w:val="decimal"/>
      <w:lvlText w:val="%1."/>
      <w:lvlJc w:val="left"/>
      <w:pPr>
        <w:ind w:left="720" w:hanging="360"/>
      </w:pPr>
      <w:rPr>
        <w:rFonts w:cs="Times New Roman" w:hint="default"/>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1B23F1B"/>
    <w:multiLevelType w:val="hybridMultilevel"/>
    <w:tmpl w:val="621A03AA"/>
    <w:lvl w:ilvl="0" w:tplc="4DA062C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0705C1"/>
    <w:multiLevelType w:val="hybridMultilevel"/>
    <w:tmpl w:val="CD1A09C2"/>
    <w:lvl w:ilvl="0" w:tplc="BE50AED2">
      <w:start w:val="1"/>
      <w:numFmt w:val="bullet"/>
      <w:lvlText w:val=""/>
      <w:lvlJc w:val="left"/>
      <w:pPr>
        <w:tabs>
          <w:tab w:val="num" w:pos="720"/>
        </w:tabs>
        <w:ind w:left="720" w:hanging="360"/>
      </w:pPr>
      <w:rPr>
        <w:rFonts w:ascii="Wingdings" w:hAnsi="Wingdings" w:hint="default"/>
      </w:rPr>
    </w:lvl>
    <w:lvl w:ilvl="1" w:tplc="543010A0" w:tentative="1">
      <w:start w:val="1"/>
      <w:numFmt w:val="bullet"/>
      <w:lvlText w:val=""/>
      <w:lvlJc w:val="left"/>
      <w:pPr>
        <w:tabs>
          <w:tab w:val="num" w:pos="1440"/>
        </w:tabs>
        <w:ind w:left="1440" w:hanging="360"/>
      </w:pPr>
      <w:rPr>
        <w:rFonts w:ascii="Wingdings" w:hAnsi="Wingdings" w:hint="default"/>
      </w:rPr>
    </w:lvl>
    <w:lvl w:ilvl="2" w:tplc="3C7E108C">
      <w:start w:val="170"/>
      <w:numFmt w:val="bullet"/>
      <w:lvlText w:val=""/>
      <w:lvlJc w:val="left"/>
      <w:pPr>
        <w:tabs>
          <w:tab w:val="num" w:pos="2160"/>
        </w:tabs>
        <w:ind w:left="2160" w:hanging="360"/>
      </w:pPr>
      <w:rPr>
        <w:rFonts w:ascii="Wingdings" w:hAnsi="Wingdings" w:hint="default"/>
      </w:rPr>
    </w:lvl>
    <w:lvl w:ilvl="3" w:tplc="4FFAAA44" w:tentative="1">
      <w:start w:val="1"/>
      <w:numFmt w:val="bullet"/>
      <w:lvlText w:val=""/>
      <w:lvlJc w:val="left"/>
      <w:pPr>
        <w:tabs>
          <w:tab w:val="num" w:pos="2880"/>
        </w:tabs>
        <w:ind w:left="2880" w:hanging="360"/>
      </w:pPr>
      <w:rPr>
        <w:rFonts w:ascii="Wingdings" w:hAnsi="Wingdings" w:hint="default"/>
      </w:rPr>
    </w:lvl>
    <w:lvl w:ilvl="4" w:tplc="6054F2FC" w:tentative="1">
      <w:start w:val="1"/>
      <w:numFmt w:val="bullet"/>
      <w:lvlText w:val=""/>
      <w:lvlJc w:val="left"/>
      <w:pPr>
        <w:tabs>
          <w:tab w:val="num" w:pos="3600"/>
        </w:tabs>
        <w:ind w:left="3600" w:hanging="360"/>
      </w:pPr>
      <w:rPr>
        <w:rFonts w:ascii="Wingdings" w:hAnsi="Wingdings" w:hint="default"/>
      </w:rPr>
    </w:lvl>
    <w:lvl w:ilvl="5" w:tplc="60C83F54" w:tentative="1">
      <w:start w:val="1"/>
      <w:numFmt w:val="bullet"/>
      <w:lvlText w:val=""/>
      <w:lvlJc w:val="left"/>
      <w:pPr>
        <w:tabs>
          <w:tab w:val="num" w:pos="4320"/>
        </w:tabs>
        <w:ind w:left="4320" w:hanging="360"/>
      </w:pPr>
      <w:rPr>
        <w:rFonts w:ascii="Wingdings" w:hAnsi="Wingdings" w:hint="default"/>
      </w:rPr>
    </w:lvl>
    <w:lvl w:ilvl="6" w:tplc="C310CC16" w:tentative="1">
      <w:start w:val="1"/>
      <w:numFmt w:val="bullet"/>
      <w:lvlText w:val=""/>
      <w:lvlJc w:val="left"/>
      <w:pPr>
        <w:tabs>
          <w:tab w:val="num" w:pos="5040"/>
        </w:tabs>
        <w:ind w:left="5040" w:hanging="360"/>
      </w:pPr>
      <w:rPr>
        <w:rFonts w:ascii="Wingdings" w:hAnsi="Wingdings" w:hint="default"/>
      </w:rPr>
    </w:lvl>
    <w:lvl w:ilvl="7" w:tplc="22C6583A" w:tentative="1">
      <w:start w:val="1"/>
      <w:numFmt w:val="bullet"/>
      <w:lvlText w:val=""/>
      <w:lvlJc w:val="left"/>
      <w:pPr>
        <w:tabs>
          <w:tab w:val="num" w:pos="5760"/>
        </w:tabs>
        <w:ind w:left="5760" w:hanging="360"/>
      </w:pPr>
      <w:rPr>
        <w:rFonts w:ascii="Wingdings" w:hAnsi="Wingdings" w:hint="default"/>
      </w:rPr>
    </w:lvl>
    <w:lvl w:ilvl="8" w:tplc="40FE9D04" w:tentative="1">
      <w:start w:val="1"/>
      <w:numFmt w:val="bullet"/>
      <w:lvlText w:val=""/>
      <w:lvlJc w:val="left"/>
      <w:pPr>
        <w:tabs>
          <w:tab w:val="num" w:pos="6480"/>
        </w:tabs>
        <w:ind w:left="6480" w:hanging="360"/>
      </w:pPr>
      <w:rPr>
        <w:rFonts w:ascii="Wingdings" w:hAnsi="Wingdings" w:hint="default"/>
      </w:rPr>
    </w:lvl>
  </w:abstractNum>
  <w:abstractNum w:abstractNumId="13">
    <w:nsid w:val="40791682"/>
    <w:multiLevelType w:val="hybridMultilevel"/>
    <w:tmpl w:val="696A9C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A1131E7"/>
    <w:multiLevelType w:val="hybridMultilevel"/>
    <w:tmpl w:val="5D363CB8"/>
    <w:lvl w:ilvl="0" w:tplc="B01472F0">
      <w:start w:val="1"/>
      <w:numFmt w:val="bullet"/>
      <w:lvlText w:val=""/>
      <w:lvlJc w:val="left"/>
      <w:pPr>
        <w:tabs>
          <w:tab w:val="num" w:pos="540"/>
        </w:tabs>
        <w:ind w:left="540" w:hanging="360"/>
      </w:pPr>
      <w:rPr>
        <w:rFonts w:ascii="Wingdings" w:hAnsi="Wingdings" w:hint="default"/>
      </w:rPr>
    </w:lvl>
    <w:lvl w:ilvl="1" w:tplc="FFB21432" w:tentative="1">
      <w:start w:val="1"/>
      <w:numFmt w:val="bullet"/>
      <w:lvlText w:val=""/>
      <w:lvlJc w:val="left"/>
      <w:pPr>
        <w:tabs>
          <w:tab w:val="num" w:pos="1260"/>
        </w:tabs>
        <w:ind w:left="1260" w:hanging="360"/>
      </w:pPr>
      <w:rPr>
        <w:rFonts w:ascii="Wingdings" w:hAnsi="Wingdings" w:hint="default"/>
      </w:rPr>
    </w:lvl>
    <w:lvl w:ilvl="2" w:tplc="38207132">
      <w:start w:val="170"/>
      <w:numFmt w:val="bullet"/>
      <w:lvlText w:val=""/>
      <w:lvlJc w:val="left"/>
      <w:pPr>
        <w:tabs>
          <w:tab w:val="num" w:pos="1980"/>
        </w:tabs>
        <w:ind w:left="1980" w:hanging="360"/>
      </w:pPr>
      <w:rPr>
        <w:rFonts w:ascii="Wingdings" w:hAnsi="Wingdings" w:hint="default"/>
      </w:rPr>
    </w:lvl>
    <w:lvl w:ilvl="3" w:tplc="11C06540" w:tentative="1">
      <w:start w:val="1"/>
      <w:numFmt w:val="bullet"/>
      <w:lvlText w:val=""/>
      <w:lvlJc w:val="left"/>
      <w:pPr>
        <w:tabs>
          <w:tab w:val="num" w:pos="2700"/>
        </w:tabs>
        <w:ind w:left="2700" w:hanging="360"/>
      </w:pPr>
      <w:rPr>
        <w:rFonts w:ascii="Wingdings" w:hAnsi="Wingdings" w:hint="default"/>
      </w:rPr>
    </w:lvl>
    <w:lvl w:ilvl="4" w:tplc="CEECF082" w:tentative="1">
      <w:start w:val="1"/>
      <w:numFmt w:val="bullet"/>
      <w:lvlText w:val=""/>
      <w:lvlJc w:val="left"/>
      <w:pPr>
        <w:tabs>
          <w:tab w:val="num" w:pos="3420"/>
        </w:tabs>
        <w:ind w:left="3420" w:hanging="360"/>
      </w:pPr>
      <w:rPr>
        <w:rFonts w:ascii="Wingdings" w:hAnsi="Wingdings" w:hint="default"/>
      </w:rPr>
    </w:lvl>
    <w:lvl w:ilvl="5" w:tplc="39106876" w:tentative="1">
      <w:start w:val="1"/>
      <w:numFmt w:val="bullet"/>
      <w:lvlText w:val=""/>
      <w:lvlJc w:val="left"/>
      <w:pPr>
        <w:tabs>
          <w:tab w:val="num" w:pos="4140"/>
        </w:tabs>
        <w:ind w:left="4140" w:hanging="360"/>
      </w:pPr>
      <w:rPr>
        <w:rFonts w:ascii="Wingdings" w:hAnsi="Wingdings" w:hint="default"/>
      </w:rPr>
    </w:lvl>
    <w:lvl w:ilvl="6" w:tplc="DF4AB616" w:tentative="1">
      <w:start w:val="1"/>
      <w:numFmt w:val="bullet"/>
      <w:lvlText w:val=""/>
      <w:lvlJc w:val="left"/>
      <w:pPr>
        <w:tabs>
          <w:tab w:val="num" w:pos="4860"/>
        </w:tabs>
        <w:ind w:left="4860" w:hanging="360"/>
      </w:pPr>
      <w:rPr>
        <w:rFonts w:ascii="Wingdings" w:hAnsi="Wingdings" w:hint="default"/>
      </w:rPr>
    </w:lvl>
    <w:lvl w:ilvl="7" w:tplc="DDDCBF32" w:tentative="1">
      <w:start w:val="1"/>
      <w:numFmt w:val="bullet"/>
      <w:lvlText w:val=""/>
      <w:lvlJc w:val="left"/>
      <w:pPr>
        <w:tabs>
          <w:tab w:val="num" w:pos="5580"/>
        </w:tabs>
        <w:ind w:left="5580" w:hanging="360"/>
      </w:pPr>
      <w:rPr>
        <w:rFonts w:ascii="Wingdings" w:hAnsi="Wingdings" w:hint="default"/>
      </w:rPr>
    </w:lvl>
    <w:lvl w:ilvl="8" w:tplc="8BE435D0" w:tentative="1">
      <w:start w:val="1"/>
      <w:numFmt w:val="bullet"/>
      <w:lvlText w:val=""/>
      <w:lvlJc w:val="left"/>
      <w:pPr>
        <w:tabs>
          <w:tab w:val="num" w:pos="6300"/>
        </w:tabs>
        <w:ind w:left="6300" w:hanging="360"/>
      </w:pPr>
      <w:rPr>
        <w:rFonts w:ascii="Wingdings" w:hAnsi="Wingdings" w:hint="default"/>
      </w:rPr>
    </w:lvl>
  </w:abstractNum>
  <w:abstractNum w:abstractNumId="15">
    <w:nsid w:val="4BA00258"/>
    <w:multiLevelType w:val="hybridMultilevel"/>
    <w:tmpl w:val="478654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576BF9"/>
    <w:multiLevelType w:val="hybridMultilevel"/>
    <w:tmpl w:val="42A88064"/>
    <w:lvl w:ilvl="0" w:tplc="169CDD10">
      <w:start w:val="1"/>
      <w:numFmt w:val="decimal"/>
      <w:lvlText w:val="%1."/>
      <w:lvlJc w:val="left"/>
      <w:pPr>
        <w:tabs>
          <w:tab w:val="num" w:pos="720"/>
        </w:tabs>
        <w:ind w:left="720" w:hanging="360"/>
      </w:pPr>
      <w:rPr>
        <w:rFonts w:cs="Times New Roman" w:hint="default"/>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1013A47"/>
    <w:multiLevelType w:val="hybridMultilevel"/>
    <w:tmpl w:val="0E6EDE2E"/>
    <w:lvl w:ilvl="0" w:tplc="4DA062C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474C6B"/>
    <w:multiLevelType w:val="hybridMultilevel"/>
    <w:tmpl w:val="FC6EC65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nsid w:val="6A6A3FE8"/>
    <w:multiLevelType w:val="hybridMultilevel"/>
    <w:tmpl w:val="9DB4AC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B137ADF"/>
    <w:multiLevelType w:val="hybridMultilevel"/>
    <w:tmpl w:val="1806F72E"/>
    <w:lvl w:ilvl="0" w:tplc="4DA062C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EAA4410"/>
    <w:multiLevelType w:val="hybridMultilevel"/>
    <w:tmpl w:val="DBAA8B9A"/>
    <w:lvl w:ilvl="0" w:tplc="0409000F">
      <w:start w:val="1"/>
      <w:numFmt w:val="decimal"/>
      <w:lvlText w:val="%1."/>
      <w:lvlJc w:val="left"/>
      <w:pPr>
        <w:ind w:left="720" w:hanging="360"/>
      </w:pPr>
      <w:rPr>
        <w:rFonts w:cs="Times New Roman" w:hint="default"/>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B8C065D"/>
    <w:multiLevelType w:val="hybridMultilevel"/>
    <w:tmpl w:val="8A1A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3"/>
  </w:num>
  <w:num w:numId="4">
    <w:abstractNumId w:val="19"/>
  </w:num>
  <w:num w:numId="5">
    <w:abstractNumId w:val="0"/>
  </w:num>
  <w:num w:numId="6">
    <w:abstractNumId w:val="10"/>
  </w:num>
  <w:num w:numId="7">
    <w:abstractNumId w:val="15"/>
  </w:num>
  <w:num w:numId="8">
    <w:abstractNumId w:val="21"/>
  </w:num>
  <w:num w:numId="9">
    <w:abstractNumId w:val="9"/>
  </w:num>
  <w:num w:numId="10">
    <w:abstractNumId w:val="18"/>
  </w:num>
  <w:num w:numId="11">
    <w:abstractNumId w:val="22"/>
  </w:num>
  <w:num w:numId="12">
    <w:abstractNumId w:val="2"/>
  </w:num>
  <w:num w:numId="13">
    <w:abstractNumId w:val="14"/>
  </w:num>
  <w:num w:numId="14">
    <w:abstractNumId w:val="4"/>
  </w:num>
  <w:num w:numId="15">
    <w:abstractNumId w:val="12"/>
  </w:num>
  <w:num w:numId="16">
    <w:abstractNumId w:val="7"/>
  </w:num>
  <w:num w:numId="17">
    <w:abstractNumId w:val="3"/>
  </w:num>
  <w:num w:numId="18">
    <w:abstractNumId w:val="11"/>
  </w:num>
  <w:num w:numId="19">
    <w:abstractNumId w:val="1"/>
  </w:num>
  <w:num w:numId="20">
    <w:abstractNumId w:val="20"/>
  </w:num>
  <w:num w:numId="21">
    <w:abstractNumId w:val="16"/>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9C"/>
    <w:rsid w:val="00021768"/>
    <w:rsid w:val="00026E07"/>
    <w:rsid w:val="000421B0"/>
    <w:rsid w:val="00045C69"/>
    <w:rsid w:val="00057178"/>
    <w:rsid w:val="00061180"/>
    <w:rsid w:val="00061720"/>
    <w:rsid w:val="00065557"/>
    <w:rsid w:val="0006685E"/>
    <w:rsid w:val="000A562D"/>
    <w:rsid w:val="001059F2"/>
    <w:rsid w:val="00115593"/>
    <w:rsid w:val="00123E6A"/>
    <w:rsid w:val="0013695C"/>
    <w:rsid w:val="001444FC"/>
    <w:rsid w:val="00145EDD"/>
    <w:rsid w:val="00163D27"/>
    <w:rsid w:val="00171DD4"/>
    <w:rsid w:val="001D0D5F"/>
    <w:rsid w:val="001D3B60"/>
    <w:rsid w:val="002004B1"/>
    <w:rsid w:val="002262F8"/>
    <w:rsid w:val="002361CE"/>
    <w:rsid w:val="002433B9"/>
    <w:rsid w:val="00247A98"/>
    <w:rsid w:val="0025339C"/>
    <w:rsid w:val="00262864"/>
    <w:rsid w:val="00287781"/>
    <w:rsid w:val="0029164E"/>
    <w:rsid w:val="002951A4"/>
    <w:rsid w:val="00297CC5"/>
    <w:rsid w:val="002B61CE"/>
    <w:rsid w:val="002D77C3"/>
    <w:rsid w:val="002F4E23"/>
    <w:rsid w:val="0032230D"/>
    <w:rsid w:val="00347A44"/>
    <w:rsid w:val="00370B7D"/>
    <w:rsid w:val="00382764"/>
    <w:rsid w:val="003A2FF7"/>
    <w:rsid w:val="003E0345"/>
    <w:rsid w:val="003F477F"/>
    <w:rsid w:val="00411E4F"/>
    <w:rsid w:val="004168A5"/>
    <w:rsid w:val="00432DB7"/>
    <w:rsid w:val="00436A88"/>
    <w:rsid w:val="00444E50"/>
    <w:rsid w:val="004572CE"/>
    <w:rsid w:val="00467CC8"/>
    <w:rsid w:val="00476DC1"/>
    <w:rsid w:val="0049290D"/>
    <w:rsid w:val="004A3C10"/>
    <w:rsid w:val="004C6041"/>
    <w:rsid w:val="004D5647"/>
    <w:rsid w:val="004E59A0"/>
    <w:rsid w:val="004F0ABC"/>
    <w:rsid w:val="0056595C"/>
    <w:rsid w:val="00566325"/>
    <w:rsid w:val="00572CDB"/>
    <w:rsid w:val="0058699D"/>
    <w:rsid w:val="005937FF"/>
    <w:rsid w:val="0059506B"/>
    <w:rsid w:val="00596644"/>
    <w:rsid w:val="005F7CAA"/>
    <w:rsid w:val="00601D43"/>
    <w:rsid w:val="006200FA"/>
    <w:rsid w:val="00633A4F"/>
    <w:rsid w:val="00663DA7"/>
    <w:rsid w:val="00673218"/>
    <w:rsid w:val="0069470A"/>
    <w:rsid w:val="00696941"/>
    <w:rsid w:val="006A6DF1"/>
    <w:rsid w:val="006B2E77"/>
    <w:rsid w:val="006D7901"/>
    <w:rsid w:val="006F5411"/>
    <w:rsid w:val="00746E3D"/>
    <w:rsid w:val="00766049"/>
    <w:rsid w:val="007669D3"/>
    <w:rsid w:val="00767653"/>
    <w:rsid w:val="00793914"/>
    <w:rsid w:val="007A6E6D"/>
    <w:rsid w:val="007B0821"/>
    <w:rsid w:val="007B1BC8"/>
    <w:rsid w:val="00800885"/>
    <w:rsid w:val="008606C6"/>
    <w:rsid w:val="00864539"/>
    <w:rsid w:val="008A02C6"/>
    <w:rsid w:val="008A4D18"/>
    <w:rsid w:val="008E706A"/>
    <w:rsid w:val="00932A21"/>
    <w:rsid w:val="009A2CAE"/>
    <w:rsid w:val="00A074E8"/>
    <w:rsid w:val="00A214E8"/>
    <w:rsid w:val="00A26BC1"/>
    <w:rsid w:val="00A45CED"/>
    <w:rsid w:val="00A45F47"/>
    <w:rsid w:val="00A86A5F"/>
    <w:rsid w:val="00A92746"/>
    <w:rsid w:val="00AB134C"/>
    <w:rsid w:val="00AE7184"/>
    <w:rsid w:val="00B145C9"/>
    <w:rsid w:val="00B31509"/>
    <w:rsid w:val="00B5197F"/>
    <w:rsid w:val="00B91660"/>
    <w:rsid w:val="00B96297"/>
    <w:rsid w:val="00BC3F12"/>
    <w:rsid w:val="00BD078D"/>
    <w:rsid w:val="00BE588E"/>
    <w:rsid w:val="00C56417"/>
    <w:rsid w:val="00C6513C"/>
    <w:rsid w:val="00C710F4"/>
    <w:rsid w:val="00C919BA"/>
    <w:rsid w:val="00CB3291"/>
    <w:rsid w:val="00CB61DB"/>
    <w:rsid w:val="00CC0075"/>
    <w:rsid w:val="00CD46B8"/>
    <w:rsid w:val="00CE032A"/>
    <w:rsid w:val="00CE0AAA"/>
    <w:rsid w:val="00CE2DD4"/>
    <w:rsid w:val="00CE3B98"/>
    <w:rsid w:val="00CF3DAE"/>
    <w:rsid w:val="00D23CE9"/>
    <w:rsid w:val="00D432F5"/>
    <w:rsid w:val="00D638DD"/>
    <w:rsid w:val="00D84BA8"/>
    <w:rsid w:val="00DA4DA2"/>
    <w:rsid w:val="00DB05EC"/>
    <w:rsid w:val="00DB5469"/>
    <w:rsid w:val="00DD0C1E"/>
    <w:rsid w:val="00E017C4"/>
    <w:rsid w:val="00E33E48"/>
    <w:rsid w:val="00E41423"/>
    <w:rsid w:val="00E41E22"/>
    <w:rsid w:val="00E47C86"/>
    <w:rsid w:val="00E81770"/>
    <w:rsid w:val="00EA06B1"/>
    <w:rsid w:val="00EC3E58"/>
    <w:rsid w:val="00EC5C02"/>
    <w:rsid w:val="00EC7BA9"/>
    <w:rsid w:val="00EF4450"/>
    <w:rsid w:val="00EF673E"/>
    <w:rsid w:val="00F204C6"/>
    <w:rsid w:val="00F34346"/>
    <w:rsid w:val="00F66D48"/>
    <w:rsid w:val="00F7650D"/>
    <w:rsid w:val="00F93C07"/>
    <w:rsid w:val="00FD3D38"/>
    <w:rsid w:val="00FE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9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735153979msonormal">
    <w:name w:val="yiv1735153979msonormal"/>
    <w:basedOn w:val="Normal"/>
    <w:uiPriority w:val="99"/>
    <w:rsid w:val="0025339C"/>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link w:val="ListParagraphChar"/>
    <w:uiPriority w:val="99"/>
    <w:qFormat/>
    <w:rsid w:val="00CB61DB"/>
    <w:pPr>
      <w:ind w:left="720"/>
      <w:contextualSpacing/>
    </w:pPr>
  </w:style>
  <w:style w:type="paragraph" w:customStyle="1" w:styleId="yiv1735153979msolistparagraph">
    <w:name w:val="yiv1735153979msolistparagraph"/>
    <w:basedOn w:val="Normal"/>
    <w:uiPriority w:val="99"/>
    <w:rsid w:val="00CD46B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444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4E50"/>
    <w:rPr>
      <w:rFonts w:ascii="Tahoma" w:hAnsi="Tahoma" w:cs="Tahoma"/>
      <w:sz w:val="16"/>
      <w:szCs w:val="16"/>
    </w:rPr>
  </w:style>
  <w:style w:type="table" w:styleId="TableGrid">
    <w:name w:val="Table Grid"/>
    <w:basedOn w:val="TableNormal"/>
    <w:uiPriority w:val="99"/>
    <w:rsid w:val="008008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E7184"/>
    <w:pPr>
      <w:spacing w:after="0" w:line="240" w:lineRule="auto"/>
    </w:pPr>
    <w:rPr>
      <w:sz w:val="20"/>
      <w:szCs w:val="20"/>
    </w:rPr>
  </w:style>
  <w:style w:type="character" w:customStyle="1" w:styleId="FootnoteTextChar">
    <w:name w:val="Footnote Text Char"/>
    <w:basedOn w:val="DefaultParagraphFont"/>
    <w:link w:val="FootnoteText"/>
    <w:uiPriority w:val="99"/>
    <w:locked/>
    <w:rsid w:val="00AE7184"/>
    <w:rPr>
      <w:rFonts w:cs="Times New Roman"/>
      <w:sz w:val="20"/>
      <w:szCs w:val="20"/>
    </w:rPr>
  </w:style>
  <w:style w:type="character" w:styleId="FootnoteReference">
    <w:name w:val="footnote reference"/>
    <w:basedOn w:val="DefaultParagraphFont"/>
    <w:uiPriority w:val="99"/>
    <w:semiHidden/>
    <w:rsid w:val="00AE7184"/>
    <w:rPr>
      <w:rFonts w:cs="Times New Roman"/>
      <w:vertAlign w:val="superscript"/>
    </w:rPr>
  </w:style>
  <w:style w:type="character" w:customStyle="1" w:styleId="ListParagraphChar">
    <w:name w:val="List Paragraph Char"/>
    <w:basedOn w:val="DefaultParagraphFont"/>
    <w:link w:val="ListParagraph"/>
    <w:uiPriority w:val="99"/>
    <w:locked/>
    <w:rsid w:val="00AE7184"/>
    <w:rPr>
      <w:rFonts w:cs="Times New Roman"/>
    </w:rPr>
  </w:style>
  <w:style w:type="character" w:styleId="CommentReference">
    <w:name w:val="annotation reference"/>
    <w:basedOn w:val="DefaultParagraphFont"/>
    <w:uiPriority w:val="99"/>
    <w:semiHidden/>
    <w:rsid w:val="00411E4F"/>
    <w:rPr>
      <w:rFonts w:cs="Times New Roman"/>
      <w:sz w:val="16"/>
      <w:szCs w:val="16"/>
    </w:rPr>
  </w:style>
  <w:style w:type="paragraph" w:styleId="CommentText">
    <w:name w:val="annotation text"/>
    <w:basedOn w:val="Normal"/>
    <w:link w:val="CommentTextChar"/>
    <w:uiPriority w:val="99"/>
    <w:semiHidden/>
    <w:rsid w:val="00411E4F"/>
    <w:rPr>
      <w:sz w:val="20"/>
      <w:szCs w:val="20"/>
    </w:rPr>
  </w:style>
  <w:style w:type="character" w:customStyle="1" w:styleId="CommentTextChar">
    <w:name w:val="Comment Text Char"/>
    <w:basedOn w:val="DefaultParagraphFont"/>
    <w:link w:val="CommentText"/>
    <w:uiPriority w:val="99"/>
    <w:semiHidden/>
    <w:locked/>
    <w:rsid w:val="00663DA7"/>
    <w:rPr>
      <w:rFonts w:cs="Times New Roman"/>
      <w:sz w:val="20"/>
      <w:szCs w:val="20"/>
    </w:rPr>
  </w:style>
  <w:style w:type="paragraph" w:styleId="CommentSubject">
    <w:name w:val="annotation subject"/>
    <w:basedOn w:val="CommentText"/>
    <w:next w:val="CommentText"/>
    <w:link w:val="CommentSubjectChar"/>
    <w:uiPriority w:val="99"/>
    <w:semiHidden/>
    <w:rsid w:val="00411E4F"/>
    <w:rPr>
      <w:b/>
      <w:bCs/>
    </w:rPr>
  </w:style>
  <w:style w:type="character" w:customStyle="1" w:styleId="CommentSubjectChar">
    <w:name w:val="Comment Subject Char"/>
    <w:basedOn w:val="CommentTextChar"/>
    <w:link w:val="CommentSubject"/>
    <w:uiPriority w:val="99"/>
    <w:semiHidden/>
    <w:locked/>
    <w:rsid w:val="00663DA7"/>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9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735153979msonormal">
    <w:name w:val="yiv1735153979msonormal"/>
    <w:basedOn w:val="Normal"/>
    <w:uiPriority w:val="99"/>
    <w:rsid w:val="0025339C"/>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link w:val="ListParagraphChar"/>
    <w:uiPriority w:val="99"/>
    <w:qFormat/>
    <w:rsid w:val="00CB61DB"/>
    <w:pPr>
      <w:ind w:left="720"/>
      <w:contextualSpacing/>
    </w:pPr>
  </w:style>
  <w:style w:type="paragraph" w:customStyle="1" w:styleId="yiv1735153979msolistparagraph">
    <w:name w:val="yiv1735153979msolistparagraph"/>
    <w:basedOn w:val="Normal"/>
    <w:uiPriority w:val="99"/>
    <w:rsid w:val="00CD46B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444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4E50"/>
    <w:rPr>
      <w:rFonts w:ascii="Tahoma" w:hAnsi="Tahoma" w:cs="Tahoma"/>
      <w:sz w:val="16"/>
      <w:szCs w:val="16"/>
    </w:rPr>
  </w:style>
  <w:style w:type="table" w:styleId="TableGrid">
    <w:name w:val="Table Grid"/>
    <w:basedOn w:val="TableNormal"/>
    <w:uiPriority w:val="99"/>
    <w:rsid w:val="008008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E7184"/>
    <w:pPr>
      <w:spacing w:after="0" w:line="240" w:lineRule="auto"/>
    </w:pPr>
    <w:rPr>
      <w:sz w:val="20"/>
      <w:szCs w:val="20"/>
    </w:rPr>
  </w:style>
  <w:style w:type="character" w:customStyle="1" w:styleId="FootnoteTextChar">
    <w:name w:val="Footnote Text Char"/>
    <w:basedOn w:val="DefaultParagraphFont"/>
    <w:link w:val="FootnoteText"/>
    <w:uiPriority w:val="99"/>
    <w:locked/>
    <w:rsid w:val="00AE7184"/>
    <w:rPr>
      <w:rFonts w:cs="Times New Roman"/>
      <w:sz w:val="20"/>
      <w:szCs w:val="20"/>
    </w:rPr>
  </w:style>
  <w:style w:type="character" w:styleId="FootnoteReference">
    <w:name w:val="footnote reference"/>
    <w:basedOn w:val="DefaultParagraphFont"/>
    <w:uiPriority w:val="99"/>
    <w:semiHidden/>
    <w:rsid w:val="00AE7184"/>
    <w:rPr>
      <w:rFonts w:cs="Times New Roman"/>
      <w:vertAlign w:val="superscript"/>
    </w:rPr>
  </w:style>
  <w:style w:type="character" w:customStyle="1" w:styleId="ListParagraphChar">
    <w:name w:val="List Paragraph Char"/>
    <w:basedOn w:val="DefaultParagraphFont"/>
    <w:link w:val="ListParagraph"/>
    <w:uiPriority w:val="99"/>
    <w:locked/>
    <w:rsid w:val="00AE7184"/>
    <w:rPr>
      <w:rFonts w:cs="Times New Roman"/>
    </w:rPr>
  </w:style>
  <w:style w:type="character" w:styleId="CommentReference">
    <w:name w:val="annotation reference"/>
    <w:basedOn w:val="DefaultParagraphFont"/>
    <w:uiPriority w:val="99"/>
    <w:semiHidden/>
    <w:rsid w:val="00411E4F"/>
    <w:rPr>
      <w:rFonts w:cs="Times New Roman"/>
      <w:sz w:val="16"/>
      <w:szCs w:val="16"/>
    </w:rPr>
  </w:style>
  <w:style w:type="paragraph" w:styleId="CommentText">
    <w:name w:val="annotation text"/>
    <w:basedOn w:val="Normal"/>
    <w:link w:val="CommentTextChar"/>
    <w:uiPriority w:val="99"/>
    <w:semiHidden/>
    <w:rsid w:val="00411E4F"/>
    <w:rPr>
      <w:sz w:val="20"/>
      <w:szCs w:val="20"/>
    </w:rPr>
  </w:style>
  <w:style w:type="character" w:customStyle="1" w:styleId="CommentTextChar">
    <w:name w:val="Comment Text Char"/>
    <w:basedOn w:val="DefaultParagraphFont"/>
    <w:link w:val="CommentText"/>
    <w:uiPriority w:val="99"/>
    <w:semiHidden/>
    <w:locked/>
    <w:rsid w:val="00663DA7"/>
    <w:rPr>
      <w:rFonts w:cs="Times New Roman"/>
      <w:sz w:val="20"/>
      <w:szCs w:val="20"/>
    </w:rPr>
  </w:style>
  <w:style w:type="paragraph" w:styleId="CommentSubject">
    <w:name w:val="annotation subject"/>
    <w:basedOn w:val="CommentText"/>
    <w:next w:val="CommentText"/>
    <w:link w:val="CommentSubjectChar"/>
    <w:uiPriority w:val="99"/>
    <w:semiHidden/>
    <w:rsid w:val="00411E4F"/>
    <w:rPr>
      <w:b/>
      <w:bCs/>
    </w:rPr>
  </w:style>
  <w:style w:type="character" w:customStyle="1" w:styleId="CommentSubjectChar">
    <w:name w:val="Comment Subject Char"/>
    <w:basedOn w:val="CommentTextChar"/>
    <w:link w:val="CommentSubject"/>
    <w:uiPriority w:val="99"/>
    <w:semiHidden/>
    <w:locked/>
    <w:rsid w:val="00663DA7"/>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09348">
      <w:marLeft w:val="0"/>
      <w:marRight w:val="0"/>
      <w:marTop w:val="0"/>
      <w:marBottom w:val="0"/>
      <w:divBdr>
        <w:top w:val="none" w:sz="0" w:space="0" w:color="auto"/>
        <w:left w:val="none" w:sz="0" w:space="0" w:color="auto"/>
        <w:bottom w:val="none" w:sz="0" w:space="0" w:color="auto"/>
        <w:right w:val="none" w:sz="0" w:space="0" w:color="auto"/>
      </w:divBdr>
    </w:div>
    <w:div w:id="306009352">
      <w:marLeft w:val="0"/>
      <w:marRight w:val="0"/>
      <w:marTop w:val="0"/>
      <w:marBottom w:val="0"/>
      <w:divBdr>
        <w:top w:val="none" w:sz="0" w:space="0" w:color="auto"/>
        <w:left w:val="none" w:sz="0" w:space="0" w:color="auto"/>
        <w:bottom w:val="none" w:sz="0" w:space="0" w:color="auto"/>
        <w:right w:val="none" w:sz="0" w:space="0" w:color="auto"/>
      </w:divBdr>
      <w:divsChild>
        <w:div w:id="306009356">
          <w:marLeft w:val="0"/>
          <w:marRight w:val="0"/>
          <w:marTop w:val="0"/>
          <w:marBottom w:val="0"/>
          <w:divBdr>
            <w:top w:val="none" w:sz="0" w:space="0" w:color="auto"/>
            <w:left w:val="none" w:sz="0" w:space="0" w:color="auto"/>
            <w:bottom w:val="none" w:sz="0" w:space="0" w:color="auto"/>
            <w:right w:val="none" w:sz="0" w:space="0" w:color="auto"/>
          </w:divBdr>
          <w:divsChild>
            <w:div w:id="3060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9354">
      <w:marLeft w:val="0"/>
      <w:marRight w:val="0"/>
      <w:marTop w:val="0"/>
      <w:marBottom w:val="0"/>
      <w:divBdr>
        <w:top w:val="none" w:sz="0" w:space="0" w:color="auto"/>
        <w:left w:val="none" w:sz="0" w:space="0" w:color="auto"/>
        <w:bottom w:val="none" w:sz="0" w:space="0" w:color="auto"/>
        <w:right w:val="none" w:sz="0" w:space="0" w:color="auto"/>
      </w:divBdr>
      <w:divsChild>
        <w:div w:id="306009349">
          <w:marLeft w:val="0"/>
          <w:marRight w:val="0"/>
          <w:marTop w:val="0"/>
          <w:marBottom w:val="0"/>
          <w:divBdr>
            <w:top w:val="none" w:sz="0" w:space="0" w:color="auto"/>
            <w:left w:val="none" w:sz="0" w:space="0" w:color="auto"/>
            <w:bottom w:val="none" w:sz="0" w:space="0" w:color="auto"/>
            <w:right w:val="none" w:sz="0" w:space="0" w:color="auto"/>
          </w:divBdr>
        </w:div>
      </w:divsChild>
    </w:div>
    <w:div w:id="306009362">
      <w:marLeft w:val="0"/>
      <w:marRight w:val="0"/>
      <w:marTop w:val="0"/>
      <w:marBottom w:val="0"/>
      <w:divBdr>
        <w:top w:val="none" w:sz="0" w:space="0" w:color="auto"/>
        <w:left w:val="none" w:sz="0" w:space="0" w:color="auto"/>
        <w:bottom w:val="none" w:sz="0" w:space="0" w:color="auto"/>
        <w:right w:val="none" w:sz="0" w:space="0" w:color="auto"/>
      </w:divBdr>
      <w:divsChild>
        <w:div w:id="306009353">
          <w:marLeft w:val="0"/>
          <w:marRight w:val="0"/>
          <w:marTop w:val="0"/>
          <w:marBottom w:val="0"/>
          <w:divBdr>
            <w:top w:val="none" w:sz="0" w:space="0" w:color="auto"/>
            <w:left w:val="none" w:sz="0" w:space="0" w:color="auto"/>
            <w:bottom w:val="none" w:sz="0" w:space="0" w:color="auto"/>
            <w:right w:val="none" w:sz="0" w:space="0" w:color="auto"/>
          </w:divBdr>
          <w:divsChild>
            <w:div w:id="306009350">
              <w:marLeft w:val="0"/>
              <w:marRight w:val="0"/>
              <w:marTop w:val="0"/>
              <w:marBottom w:val="0"/>
              <w:divBdr>
                <w:top w:val="none" w:sz="0" w:space="0" w:color="auto"/>
                <w:left w:val="none" w:sz="0" w:space="0" w:color="auto"/>
                <w:bottom w:val="none" w:sz="0" w:space="0" w:color="auto"/>
                <w:right w:val="none" w:sz="0" w:space="0" w:color="auto"/>
              </w:divBdr>
            </w:div>
            <w:div w:id="306009351">
              <w:marLeft w:val="0"/>
              <w:marRight w:val="0"/>
              <w:marTop w:val="0"/>
              <w:marBottom w:val="0"/>
              <w:divBdr>
                <w:top w:val="none" w:sz="0" w:space="0" w:color="auto"/>
                <w:left w:val="none" w:sz="0" w:space="0" w:color="auto"/>
                <w:bottom w:val="none" w:sz="0" w:space="0" w:color="auto"/>
                <w:right w:val="none" w:sz="0" w:space="0" w:color="auto"/>
              </w:divBdr>
            </w:div>
            <w:div w:id="306009355">
              <w:marLeft w:val="0"/>
              <w:marRight w:val="0"/>
              <w:marTop w:val="0"/>
              <w:marBottom w:val="0"/>
              <w:divBdr>
                <w:top w:val="none" w:sz="0" w:space="0" w:color="auto"/>
                <w:left w:val="none" w:sz="0" w:space="0" w:color="auto"/>
                <w:bottom w:val="none" w:sz="0" w:space="0" w:color="auto"/>
                <w:right w:val="none" w:sz="0" w:space="0" w:color="auto"/>
              </w:divBdr>
            </w:div>
            <w:div w:id="306009357">
              <w:marLeft w:val="0"/>
              <w:marRight w:val="0"/>
              <w:marTop w:val="0"/>
              <w:marBottom w:val="0"/>
              <w:divBdr>
                <w:top w:val="none" w:sz="0" w:space="0" w:color="auto"/>
                <w:left w:val="none" w:sz="0" w:space="0" w:color="auto"/>
                <w:bottom w:val="none" w:sz="0" w:space="0" w:color="auto"/>
                <w:right w:val="none" w:sz="0" w:space="0" w:color="auto"/>
              </w:divBdr>
            </w:div>
            <w:div w:id="306009358">
              <w:marLeft w:val="0"/>
              <w:marRight w:val="0"/>
              <w:marTop w:val="0"/>
              <w:marBottom w:val="0"/>
              <w:divBdr>
                <w:top w:val="none" w:sz="0" w:space="0" w:color="auto"/>
                <w:left w:val="none" w:sz="0" w:space="0" w:color="auto"/>
                <w:bottom w:val="none" w:sz="0" w:space="0" w:color="auto"/>
                <w:right w:val="none" w:sz="0" w:space="0" w:color="auto"/>
              </w:divBdr>
            </w:div>
            <w:div w:id="306009359">
              <w:marLeft w:val="0"/>
              <w:marRight w:val="0"/>
              <w:marTop w:val="0"/>
              <w:marBottom w:val="0"/>
              <w:divBdr>
                <w:top w:val="none" w:sz="0" w:space="0" w:color="auto"/>
                <w:left w:val="none" w:sz="0" w:space="0" w:color="auto"/>
                <w:bottom w:val="none" w:sz="0" w:space="0" w:color="auto"/>
                <w:right w:val="none" w:sz="0" w:space="0" w:color="auto"/>
              </w:divBdr>
            </w:div>
            <w:div w:id="3060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9363">
      <w:marLeft w:val="0"/>
      <w:marRight w:val="0"/>
      <w:marTop w:val="0"/>
      <w:marBottom w:val="0"/>
      <w:divBdr>
        <w:top w:val="none" w:sz="0" w:space="0" w:color="auto"/>
        <w:left w:val="none" w:sz="0" w:space="0" w:color="auto"/>
        <w:bottom w:val="none" w:sz="0" w:space="0" w:color="auto"/>
        <w:right w:val="none" w:sz="0" w:space="0" w:color="auto"/>
      </w:divBdr>
    </w:div>
    <w:div w:id="306009364">
      <w:marLeft w:val="0"/>
      <w:marRight w:val="0"/>
      <w:marTop w:val="0"/>
      <w:marBottom w:val="0"/>
      <w:divBdr>
        <w:top w:val="none" w:sz="0" w:space="0" w:color="auto"/>
        <w:left w:val="none" w:sz="0" w:space="0" w:color="auto"/>
        <w:bottom w:val="none" w:sz="0" w:space="0" w:color="auto"/>
        <w:right w:val="none" w:sz="0" w:space="0" w:color="auto"/>
      </w:divBdr>
    </w:div>
    <w:div w:id="306009365">
      <w:marLeft w:val="0"/>
      <w:marRight w:val="0"/>
      <w:marTop w:val="0"/>
      <w:marBottom w:val="0"/>
      <w:divBdr>
        <w:top w:val="none" w:sz="0" w:space="0" w:color="auto"/>
        <w:left w:val="none" w:sz="0" w:space="0" w:color="auto"/>
        <w:bottom w:val="none" w:sz="0" w:space="0" w:color="auto"/>
        <w:right w:val="none" w:sz="0" w:space="0" w:color="auto"/>
      </w:divBdr>
    </w:div>
    <w:div w:id="306009366">
      <w:marLeft w:val="0"/>
      <w:marRight w:val="0"/>
      <w:marTop w:val="0"/>
      <w:marBottom w:val="0"/>
      <w:divBdr>
        <w:top w:val="none" w:sz="0" w:space="0" w:color="auto"/>
        <w:left w:val="none" w:sz="0" w:space="0" w:color="auto"/>
        <w:bottom w:val="none" w:sz="0" w:space="0" w:color="auto"/>
        <w:right w:val="none" w:sz="0" w:space="0" w:color="auto"/>
      </w:divBdr>
    </w:div>
    <w:div w:id="306009367">
      <w:marLeft w:val="0"/>
      <w:marRight w:val="0"/>
      <w:marTop w:val="0"/>
      <w:marBottom w:val="0"/>
      <w:divBdr>
        <w:top w:val="none" w:sz="0" w:space="0" w:color="auto"/>
        <w:left w:val="none" w:sz="0" w:space="0" w:color="auto"/>
        <w:bottom w:val="none" w:sz="0" w:space="0" w:color="auto"/>
        <w:right w:val="none" w:sz="0" w:space="0" w:color="auto"/>
      </w:divBdr>
    </w:div>
    <w:div w:id="306009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Position Paper – Housing Finance                                     Purpose:</vt:lpstr>
    </vt:vector>
  </TitlesOfParts>
  <Company/>
  <LinksUpToDate>false</LinksUpToDate>
  <CharactersWithSpaces>14133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Paper – Housing Finance                                     Purpose:</dc:title>
  <dc:creator>Faisal Zia Qureshi</dc:creator>
  <cp:lastModifiedBy>Abdul Najeeb</cp:lastModifiedBy>
  <cp:revision>2</cp:revision>
  <cp:lastPrinted>2013-06-19T11:15:00Z</cp:lastPrinted>
  <dcterms:created xsi:type="dcterms:W3CDTF">2013-08-08T11:56:00Z</dcterms:created>
  <dcterms:modified xsi:type="dcterms:W3CDTF">2013-08-08T11:56:00Z</dcterms:modified>
</cp:coreProperties>
</file>