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AF" w:rsidRDefault="00CE62AF" w:rsidP="001F5CD0">
      <w:pPr>
        <w:autoSpaceDE w:val="0"/>
        <w:autoSpaceDN w:val="0"/>
        <w:adjustRightInd w:val="0"/>
        <w:spacing w:after="0" w:line="240" w:lineRule="auto"/>
        <w:rPr>
          <w:rFonts w:ascii="Times New Roman" w:hAnsi="Times New Roman"/>
          <w:b/>
          <w:bCs/>
          <w:sz w:val="28"/>
          <w:szCs w:val="28"/>
        </w:rPr>
      </w:pPr>
    </w:p>
    <w:p w:rsidR="001F5CD0" w:rsidRPr="001F5CD0" w:rsidRDefault="001F5CD0" w:rsidP="001F5CD0">
      <w:pPr>
        <w:autoSpaceDE w:val="0"/>
        <w:autoSpaceDN w:val="0"/>
        <w:adjustRightInd w:val="0"/>
        <w:spacing w:after="0" w:line="240" w:lineRule="auto"/>
        <w:rPr>
          <w:rFonts w:ascii="Times New Roman" w:hAnsi="Times New Roman"/>
          <w:b/>
          <w:bCs/>
          <w:sz w:val="28"/>
          <w:szCs w:val="28"/>
        </w:rPr>
      </w:pPr>
      <w:r w:rsidRPr="001F5CD0">
        <w:rPr>
          <w:rFonts w:ascii="Times New Roman" w:hAnsi="Times New Roman"/>
          <w:b/>
          <w:bCs/>
          <w:sz w:val="28"/>
          <w:szCs w:val="28"/>
        </w:rPr>
        <w:t>Allocation and Preservation of Affordable Housing: A Spatially Discriminated Supply</w:t>
      </w:r>
      <w:r w:rsidRPr="001F5CD0">
        <w:rPr>
          <w:rFonts w:ascii="Cambria Math" w:hAnsi="Cambria Math"/>
          <w:b/>
          <w:bCs/>
          <w:sz w:val="28"/>
          <w:szCs w:val="28"/>
        </w:rPr>
        <w:t>‐</w:t>
      </w:r>
      <w:r w:rsidRPr="001F5CD0">
        <w:rPr>
          <w:rFonts w:ascii="Times New Roman" w:hAnsi="Times New Roman"/>
          <w:b/>
          <w:bCs/>
          <w:sz w:val="28"/>
          <w:szCs w:val="28"/>
        </w:rPr>
        <w:t>Demand Analysis Based on Parcel Level Employment Assignment</w:t>
      </w:r>
    </w:p>
    <w:p w:rsidR="001F5CD0" w:rsidRPr="001F5CD0" w:rsidRDefault="001F5CD0" w:rsidP="001F5CD0">
      <w:pPr>
        <w:autoSpaceDE w:val="0"/>
        <w:autoSpaceDN w:val="0"/>
        <w:adjustRightInd w:val="0"/>
        <w:spacing w:after="0" w:line="240" w:lineRule="auto"/>
        <w:rPr>
          <w:rFonts w:ascii="Times New Roman" w:hAnsi="Times New Roman"/>
          <w:sz w:val="24"/>
          <w:szCs w:val="24"/>
        </w:rPr>
      </w:pPr>
    </w:p>
    <w:p w:rsidR="00D07B79" w:rsidRDefault="00C53F4A" w:rsidP="001F5CD0">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Abdul</w:t>
      </w:r>
      <w:r w:rsidR="00A45992">
        <w:rPr>
          <w:rFonts w:ascii="Times New Roman" w:hAnsi="Times New Roman"/>
          <w:sz w:val="24"/>
          <w:szCs w:val="24"/>
        </w:rPr>
        <w:t>n</w:t>
      </w:r>
      <w:r w:rsidR="001F5CD0" w:rsidRPr="001F5CD0">
        <w:rPr>
          <w:rFonts w:ascii="Times New Roman" w:hAnsi="Times New Roman"/>
          <w:sz w:val="24"/>
          <w:szCs w:val="24"/>
        </w:rPr>
        <w:t>aser</w:t>
      </w:r>
      <w:proofErr w:type="spellEnd"/>
      <w:r w:rsidR="001F5CD0" w:rsidRPr="001F5CD0">
        <w:rPr>
          <w:rFonts w:ascii="Times New Roman" w:hAnsi="Times New Roman"/>
          <w:sz w:val="24"/>
          <w:szCs w:val="24"/>
        </w:rPr>
        <w:t xml:space="preserve"> Arafat (University of Florida), </w:t>
      </w:r>
      <w:proofErr w:type="spellStart"/>
      <w:r w:rsidR="001F5CD0" w:rsidRPr="001F5CD0">
        <w:rPr>
          <w:rFonts w:ascii="Times New Roman" w:hAnsi="Times New Roman"/>
          <w:sz w:val="24"/>
          <w:szCs w:val="24"/>
        </w:rPr>
        <w:t>Yuyang</w:t>
      </w:r>
      <w:proofErr w:type="spellEnd"/>
      <w:r w:rsidR="001F5CD0" w:rsidRPr="001F5CD0">
        <w:rPr>
          <w:rFonts w:ascii="Times New Roman" w:hAnsi="Times New Roman"/>
          <w:sz w:val="24"/>
          <w:szCs w:val="24"/>
        </w:rPr>
        <w:t xml:space="preserve"> </w:t>
      </w:r>
      <w:proofErr w:type="spellStart"/>
      <w:r w:rsidR="001F5CD0" w:rsidRPr="001F5CD0">
        <w:rPr>
          <w:rFonts w:ascii="Times New Roman" w:hAnsi="Times New Roman"/>
          <w:sz w:val="24"/>
          <w:szCs w:val="24"/>
        </w:rPr>
        <w:t>Zou</w:t>
      </w:r>
      <w:proofErr w:type="spellEnd"/>
      <w:r w:rsidR="001F5CD0" w:rsidRPr="001F5CD0">
        <w:rPr>
          <w:rFonts w:ascii="Times New Roman" w:hAnsi="Times New Roman"/>
          <w:sz w:val="24"/>
          <w:szCs w:val="24"/>
        </w:rPr>
        <w:t xml:space="preserve"> (University of Florida),  Andres Blanco (University of Florida), </w:t>
      </w:r>
      <w:proofErr w:type="spellStart"/>
      <w:r w:rsidR="001F5CD0" w:rsidRPr="001F5CD0">
        <w:rPr>
          <w:rFonts w:ascii="Times New Roman" w:hAnsi="Times New Roman"/>
          <w:sz w:val="24"/>
          <w:szCs w:val="24"/>
        </w:rPr>
        <w:t>Ruoniu</w:t>
      </w:r>
      <w:proofErr w:type="spellEnd"/>
      <w:r w:rsidR="001F5CD0" w:rsidRPr="001F5CD0">
        <w:rPr>
          <w:rFonts w:ascii="Times New Roman" w:hAnsi="Times New Roman"/>
          <w:sz w:val="24"/>
          <w:szCs w:val="24"/>
        </w:rPr>
        <w:t xml:space="preserve"> Wang (University of Florida)</w:t>
      </w:r>
    </w:p>
    <w:p w:rsidR="001F5CD0" w:rsidRPr="001F5CD0" w:rsidRDefault="001F5CD0" w:rsidP="001F5CD0">
      <w:pPr>
        <w:autoSpaceDE w:val="0"/>
        <w:autoSpaceDN w:val="0"/>
        <w:adjustRightInd w:val="0"/>
        <w:spacing w:after="0" w:line="240" w:lineRule="auto"/>
        <w:rPr>
          <w:rFonts w:ascii="Times New Roman" w:hAnsi="Times New Roman"/>
          <w:sz w:val="24"/>
          <w:szCs w:val="24"/>
        </w:rPr>
      </w:pPr>
      <w:r w:rsidRPr="001F5CD0">
        <w:rPr>
          <w:rFonts w:ascii="Times New Roman" w:hAnsi="Times New Roman"/>
          <w:sz w:val="24"/>
          <w:szCs w:val="24"/>
        </w:rPr>
        <w:t>Presenter’s Email Address: naserarafat@dcp.ufl.edu</w:t>
      </w:r>
    </w:p>
    <w:p w:rsidR="001F5CD0" w:rsidRDefault="001F5CD0" w:rsidP="001F5CD0">
      <w:pPr>
        <w:spacing w:line="240" w:lineRule="auto"/>
        <w:rPr>
          <w:rFonts w:ascii="Times New Roman" w:hAnsi="Times New Roman"/>
          <w:sz w:val="24"/>
          <w:szCs w:val="24"/>
        </w:rPr>
      </w:pPr>
    </w:p>
    <w:p w:rsidR="000E3BAF" w:rsidRDefault="001F5CD0" w:rsidP="006C22EE">
      <w:pPr>
        <w:spacing w:line="480" w:lineRule="auto"/>
        <w:rPr>
          <w:rFonts w:ascii="Times New Roman" w:hAnsi="Times New Roman"/>
          <w:sz w:val="24"/>
          <w:szCs w:val="24"/>
        </w:rPr>
      </w:pPr>
      <w:r w:rsidRPr="001E15A7">
        <w:rPr>
          <w:rFonts w:ascii="Times New Roman" w:hAnsi="Times New Roman"/>
          <w:b/>
          <w:sz w:val="24"/>
          <w:szCs w:val="24"/>
        </w:rPr>
        <w:t xml:space="preserve">Abstract </w:t>
      </w:r>
      <w:r w:rsidRPr="001F5CD0">
        <w:rPr>
          <w:rFonts w:ascii="Times New Roman" w:hAnsi="Times New Roman"/>
          <w:sz w:val="24"/>
          <w:szCs w:val="24"/>
        </w:rPr>
        <w:t xml:space="preserve"> </w:t>
      </w:r>
    </w:p>
    <w:p w:rsidR="001F5CD0" w:rsidRDefault="00C53F4A" w:rsidP="000E3BAF">
      <w:pPr>
        <w:spacing w:line="480" w:lineRule="auto"/>
        <w:ind w:firstLine="720"/>
        <w:rPr>
          <w:rFonts w:ascii="Times New Roman" w:hAnsi="Times New Roman"/>
          <w:sz w:val="24"/>
          <w:szCs w:val="24"/>
        </w:rPr>
      </w:pPr>
      <w:r>
        <w:rPr>
          <w:rFonts w:ascii="Times New Roman" w:hAnsi="Times New Roman"/>
          <w:sz w:val="24"/>
          <w:szCs w:val="24"/>
        </w:rPr>
        <w:t>H</w:t>
      </w:r>
      <w:r w:rsidR="001F5CD0" w:rsidRPr="001F5CD0">
        <w:rPr>
          <w:rFonts w:ascii="Times New Roman" w:hAnsi="Times New Roman"/>
          <w:sz w:val="24"/>
          <w:szCs w:val="24"/>
        </w:rPr>
        <w:t xml:space="preserve">ousing affordability has been evaluated </w:t>
      </w:r>
      <w:r>
        <w:rPr>
          <w:rFonts w:ascii="Times New Roman" w:hAnsi="Times New Roman"/>
          <w:sz w:val="24"/>
          <w:szCs w:val="24"/>
        </w:rPr>
        <w:t xml:space="preserve">by the Center </w:t>
      </w:r>
      <w:r w:rsidR="00CE62AF">
        <w:rPr>
          <w:rFonts w:ascii="Times New Roman" w:hAnsi="Times New Roman"/>
          <w:sz w:val="24"/>
          <w:szCs w:val="24"/>
        </w:rPr>
        <w:t xml:space="preserve">for </w:t>
      </w:r>
      <w:r w:rsidR="00A46070">
        <w:rPr>
          <w:rFonts w:ascii="Times New Roman" w:hAnsi="Times New Roman"/>
          <w:sz w:val="24"/>
          <w:szCs w:val="24"/>
        </w:rPr>
        <w:t>Neighborhood</w:t>
      </w:r>
      <w:r>
        <w:rPr>
          <w:rFonts w:ascii="Times New Roman" w:hAnsi="Times New Roman"/>
          <w:sz w:val="24"/>
          <w:szCs w:val="24"/>
        </w:rPr>
        <w:t xml:space="preserve"> Technology</w:t>
      </w:r>
      <w:r w:rsidR="006E42D1">
        <w:rPr>
          <w:rFonts w:ascii="Times New Roman" w:hAnsi="Times New Roman"/>
          <w:sz w:val="24"/>
          <w:szCs w:val="24"/>
        </w:rPr>
        <w:t xml:space="preserve"> (</w:t>
      </w:r>
      <w:r>
        <w:rPr>
          <w:rFonts w:ascii="Times New Roman" w:hAnsi="Times New Roman"/>
          <w:sz w:val="24"/>
          <w:szCs w:val="24"/>
        </w:rPr>
        <w:t>CNT</w:t>
      </w:r>
      <w:r w:rsidR="006E42D1">
        <w:rPr>
          <w:rFonts w:ascii="Times New Roman" w:hAnsi="Times New Roman"/>
          <w:sz w:val="24"/>
          <w:szCs w:val="24"/>
        </w:rPr>
        <w:t>)</w:t>
      </w:r>
      <w:r>
        <w:rPr>
          <w:rFonts w:ascii="Times New Roman" w:hAnsi="Times New Roman"/>
          <w:sz w:val="24"/>
          <w:szCs w:val="24"/>
        </w:rPr>
        <w:t xml:space="preserve"> </w:t>
      </w:r>
      <w:r w:rsidR="001F5CD0" w:rsidRPr="001F5CD0">
        <w:rPr>
          <w:rFonts w:ascii="Times New Roman" w:hAnsi="Times New Roman"/>
          <w:sz w:val="24"/>
          <w:szCs w:val="24"/>
        </w:rPr>
        <w:t xml:space="preserve">based on the </w:t>
      </w:r>
      <w:r w:rsidR="002E69DC">
        <w:rPr>
          <w:rFonts w:ascii="Times New Roman" w:hAnsi="Times New Roman"/>
          <w:sz w:val="24"/>
          <w:szCs w:val="24"/>
        </w:rPr>
        <w:t xml:space="preserve">combined </w:t>
      </w:r>
      <w:r w:rsidR="001F5CD0" w:rsidRPr="001F5CD0">
        <w:rPr>
          <w:rFonts w:ascii="Times New Roman" w:hAnsi="Times New Roman"/>
          <w:sz w:val="24"/>
          <w:szCs w:val="24"/>
        </w:rPr>
        <w:t>cost of housing and transportati</w:t>
      </w:r>
      <w:r w:rsidR="00A8565D">
        <w:rPr>
          <w:rFonts w:ascii="Times New Roman" w:hAnsi="Times New Roman"/>
          <w:sz w:val="24"/>
          <w:szCs w:val="24"/>
        </w:rPr>
        <w:t>on relative to household income</w:t>
      </w:r>
      <w:r w:rsidR="00BC5C15">
        <w:rPr>
          <w:rFonts w:ascii="Times New Roman" w:hAnsi="Times New Roman"/>
          <w:sz w:val="24"/>
          <w:szCs w:val="24"/>
        </w:rPr>
        <w:t xml:space="preserve">. </w:t>
      </w:r>
      <w:r w:rsidR="00A46070">
        <w:rPr>
          <w:rFonts w:ascii="Times New Roman" w:hAnsi="Times New Roman"/>
          <w:sz w:val="24"/>
          <w:szCs w:val="24"/>
        </w:rPr>
        <w:t>The combine</w:t>
      </w:r>
      <w:r w:rsidR="00671024">
        <w:rPr>
          <w:rFonts w:ascii="Times New Roman" w:hAnsi="Times New Roman"/>
          <w:sz w:val="24"/>
          <w:szCs w:val="24"/>
        </w:rPr>
        <w:t>d</w:t>
      </w:r>
      <w:r w:rsidR="00A46070">
        <w:rPr>
          <w:rFonts w:ascii="Times New Roman" w:hAnsi="Times New Roman"/>
          <w:sz w:val="24"/>
          <w:szCs w:val="24"/>
        </w:rPr>
        <w:t xml:space="preserve"> housing and transportation cost usually </w:t>
      </w:r>
      <w:r w:rsidR="00671024">
        <w:rPr>
          <w:rFonts w:ascii="Times New Roman" w:hAnsi="Times New Roman"/>
          <w:sz w:val="24"/>
          <w:szCs w:val="24"/>
        </w:rPr>
        <w:t>increases</w:t>
      </w:r>
      <w:r w:rsidR="00A46070">
        <w:rPr>
          <w:rFonts w:ascii="Times New Roman" w:hAnsi="Times New Roman"/>
          <w:sz w:val="24"/>
          <w:szCs w:val="24"/>
        </w:rPr>
        <w:t xml:space="preserve"> as co</w:t>
      </w:r>
      <w:r w:rsidR="002E69DC">
        <w:rPr>
          <w:rFonts w:ascii="Times New Roman" w:hAnsi="Times New Roman"/>
          <w:sz w:val="24"/>
          <w:szCs w:val="24"/>
        </w:rPr>
        <w:t>mmuting distance</w:t>
      </w:r>
      <w:r w:rsidR="00057E3D">
        <w:rPr>
          <w:rFonts w:ascii="Times New Roman" w:hAnsi="Times New Roman"/>
          <w:sz w:val="24"/>
          <w:szCs w:val="24"/>
        </w:rPr>
        <w:t>s</w:t>
      </w:r>
      <w:r w:rsidR="002E69DC">
        <w:rPr>
          <w:rFonts w:ascii="Times New Roman" w:hAnsi="Times New Roman"/>
          <w:sz w:val="24"/>
          <w:szCs w:val="24"/>
        </w:rPr>
        <w:t xml:space="preserve"> increase. This</w:t>
      </w:r>
      <w:r w:rsidR="00A46070">
        <w:rPr>
          <w:rFonts w:ascii="Times New Roman" w:hAnsi="Times New Roman"/>
          <w:sz w:val="24"/>
          <w:szCs w:val="24"/>
        </w:rPr>
        <w:t xml:space="preserve"> emphasize</w:t>
      </w:r>
      <w:r w:rsidR="002E69DC">
        <w:rPr>
          <w:rFonts w:ascii="Times New Roman" w:hAnsi="Times New Roman"/>
          <w:sz w:val="24"/>
          <w:szCs w:val="24"/>
        </w:rPr>
        <w:t>s</w:t>
      </w:r>
      <w:r w:rsidR="00A46070">
        <w:rPr>
          <w:rFonts w:ascii="Times New Roman" w:hAnsi="Times New Roman"/>
          <w:sz w:val="24"/>
          <w:szCs w:val="24"/>
        </w:rPr>
        <w:t xml:space="preserve"> the import</w:t>
      </w:r>
      <w:r w:rsidR="002E69DC">
        <w:rPr>
          <w:rFonts w:ascii="Times New Roman" w:hAnsi="Times New Roman"/>
          <w:sz w:val="24"/>
          <w:szCs w:val="24"/>
        </w:rPr>
        <w:t xml:space="preserve">ance of transportation cost </w:t>
      </w:r>
      <w:r w:rsidR="00A92D07">
        <w:rPr>
          <w:rFonts w:ascii="Times New Roman" w:hAnsi="Times New Roman"/>
          <w:sz w:val="24"/>
          <w:szCs w:val="24"/>
        </w:rPr>
        <w:t xml:space="preserve">that </w:t>
      </w:r>
      <w:r w:rsidR="00A46070">
        <w:rPr>
          <w:rFonts w:ascii="Times New Roman" w:hAnsi="Times New Roman"/>
          <w:sz w:val="24"/>
          <w:szCs w:val="24"/>
        </w:rPr>
        <w:t xml:space="preserve">CNT included in their affordability estimation. </w:t>
      </w:r>
      <w:r w:rsidR="00E27BB6">
        <w:rPr>
          <w:rFonts w:ascii="Times New Roman" w:hAnsi="Times New Roman"/>
          <w:sz w:val="24"/>
          <w:szCs w:val="24"/>
        </w:rPr>
        <w:t>The relation</w:t>
      </w:r>
      <w:r w:rsidR="00057E3D">
        <w:rPr>
          <w:rFonts w:ascii="Times New Roman" w:hAnsi="Times New Roman"/>
          <w:sz w:val="24"/>
          <w:szCs w:val="24"/>
        </w:rPr>
        <w:t>ship</w:t>
      </w:r>
      <w:r w:rsidR="00E27BB6">
        <w:rPr>
          <w:rFonts w:ascii="Times New Roman" w:hAnsi="Times New Roman"/>
          <w:sz w:val="24"/>
          <w:szCs w:val="24"/>
        </w:rPr>
        <w:t xml:space="preserve"> between housing location and job location is important as well. For assisted housing, </w:t>
      </w:r>
      <w:r w:rsidR="00057E3D">
        <w:rPr>
          <w:rFonts w:ascii="Times New Roman" w:hAnsi="Times New Roman"/>
          <w:sz w:val="24"/>
          <w:szCs w:val="24"/>
        </w:rPr>
        <w:t xml:space="preserve">the </w:t>
      </w:r>
      <w:r w:rsidR="00671024">
        <w:rPr>
          <w:rFonts w:ascii="Times New Roman" w:hAnsi="Times New Roman"/>
          <w:sz w:val="24"/>
          <w:szCs w:val="24"/>
        </w:rPr>
        <w:t xml:space="preserve">literature suggests that </w:t>
      </w:r>
      <w:r w:rsidR="00E27BB6">
        <w:rPr>
          <w:rFonts w:ascii="Times New Roman" w:hAnsi="Times New Roman"/>
          <w:sz w:val="24"/>
          <w:szCs w:val="24"/>
        </w:rPr>
        <w:t>access to low income jobs reduces travel</w:t>
      </w:r>
      <w:r w:rsidR="002E69DC">
        <w:rPr>
          <w:rFonts w:ascii="Times New Roman" w:hAnsi="Times New Roman"/>
          <w:sz w:val="24"/>
          <w:szCs w:val="24"/>
        </w:rPr>
        <w:t xml:space="preserve"> cost and thus improves affordability</w:t>
      </w:r>
      <w:r w:rsidR="00E27BB6">
        <w:rPr>
          <w:rFonts w:ascii="Times New Roman" w:hAnsi="Times New Roman"/>
          <w:sz w:val="24"/>
          <w:szCs w:val="24"/>
        </w:rPr>
        <w:t>.  Therefore</w:t>
      </w:r>
      <w:r w:rsidR="00523121">
        <w:rPr>
          <w:rFonts w:ascii="Times New Roman" w:hAnsi="Times New Roman"/>
          <w:sz w:val="24"/>
          <w:szCs w:val="24"/>
        </w:rPr>
        <w:t xml:space="preserve">, </w:t>
      </w:r>
      <w:r w:rsidR="00E27BB6">
        <w:rPr>
          <w:rFonts w:ascii="Times New Roman" w:hAnsi="Times New Roman"/>
          <w:sz w:val="24"/>
          <w:szCs w:val="24"/>
        </w:rPr>
        <w:t>more information about the housing and low</w:t>
      </w:r>
      <w:r w:rsidR="00057E3D">
        <w:rPr>
          <w:rFonts w:ascii="Times New Roman" w:hAnsi="Times New Roman"/>
          <w:sz w:val="24"/>
          <w:szCs w:val="24"/>
        </w:rPr>
        <w:t>-</w:t>
      </w:r>
      <w:r w:rsidR="00E27BB6">
        <w:rPr>
          <w:rFonts w:ascii="Times New Roman" w:hAnsi="Times New Roman"/>
          <w:sz w:val="24"/>
          <w:szCs w:val="24"/>
        </w:rPr>
        <w:t xml:space="preserve">income job relationship </w:t>
      </w:r>
      <w:r w:rsidR="003A5D56">
        <w:rPr>
          <w:rFonts w:ascii="Times New Roman" w:hAnsi="Times New Roman"/>
          <w:sz w:val="24"/>
          <w:szCs w:val="24"/>
        </w:rPr>
        <w:t>is needed</w:t>
      </w:r>
      <w:r>
        <w:rPr>
          <w:rFonts w:ascii="Times New Roman" w:hAnsi="Times New Roman"/>
          <w:sz w:val="24"/>
          <w:szCs w:val="24"/>
        </w:rPr>
        <w:t xml:space="preserve"> to </w:t>
      </w:r>
      <w:r w:rsidR="00A8565D" w:rsidRPr="00A8565D">
        <w:rPr>
          <w:rFonts w:ascii="Times New Roman" w:hAnsi="Times New Roman"/>
          <w:sz w:val="24"/>
          <w:szCs w:val="24"/>
        </w:rPr>
        <w:t xml:space="preserve">allocate </w:t>
      </w:r>
      <w:r w:rsidR="00671024">
        <w:rPr>
          <w:rFonts w:ascii="Times New Roman" w:hAnsi="Times New Roman"/>
          <w:sz w:val="24"/>
          <w:szCs w:val="24"/>
        </w:rPr>
        <w:t>and</w:t>
      </w:r>
      <w:r w:rsidR="00A8565D" w:rsidRPr="00A8565D">
        <w:rPr>
          <w:rFonts w:ascii="Times New Roman" w:hAnsi="Times New Roman"/>
          <w:sz w:val="24"/>
          <w:szCs w:val="24"/>
        </w:rPr>
        <w:t xml:space="preserve"> preserve suitable land for</w:t>
      </w:r>
      <w:r w:rsidR="00BC5C15">
        <w:rPr>
          <w:rFonts w:ascii="Times New Roman" w:hAnsi="Times New Roman"/>
          <w:sz w:val="24"/>
          <w:szCs w:val="24"/>
        </w:rPr>
        <w:t xml:space="preserve"> affordable housing</w:t>
      </w:r>
      <w:r>
        <w:rPr>
          <w:rFonts w:ascii="Times New Roman" w:hAnsi="Times New Roman"/>
          <w:sz w:val="24"/>
          <w:szCs w:val="24"/>
        </w:rPr>
        <w:t>.</w:t>
      </w:r>
      <w:r w:rsidR="00A8565D">
        <w:rPr>
          <w:rFonts w:ascii="Times New Roman" w:hAnsi="Times New Roman"/>
          <w:sz w:val="24"/>
          <w:szCs w:val="24"/>
        </w:rPr>
        <w:t xml:space="preserve"> </w:t>
      </w:r>
      <w:r>
        <w:rPr>
          <w:rFonts w:ascii="Times New Roman" w:hAnsi="Times New Roman"/>
          <w:sz w:val="24"/>
          <w:szCs w:val="24"/>
        </w:rPr>
        <w:t>This</w:t>
      </w:r>
      <w:r w:rsidR="00BC5C15">
        <w:rPr>
          <w:rFonts w:ascii="Times New Roman" w:hAnsi="Times New Roman"/>
          <w:sz w:val="24"/>
          <w:szCs w:val="24"/>
        </w:rPr>
        <w:t xml:space="preserve"> research </w:t>
      </w:r>
      <w:r w:rsidR="00830B16">
        <w:rPr>
          <w:rFonts w:ascii="Times New Roman" w:hAnsi="Times New Roman"/>
          <w:sz w:val="24"/>
          <w:szCs w:val="24"/>
        </w:rPr>
        <w:t>studies</w:t>
      </w:r>
      <w:r w:rsidR="00BC5C15">
        <w:rPr>
          <w:rFonts w:ascii="Times New Roman" w:hAnsi="Times New Roman"/>
          <w:sz w:val="24"/>
          <w:szCs w:val="24"/>
        </w:rPr>
        <w:t xml:space="preserve"> assisted housing supply and demand </w:t>
      </w:r>
      <w:r w:rsidR="002E69DC">
        <w:rPr>
          <w:rFonts w:ascii="Times New Roman" w:hAnsi="Times New Roman"/>
          <w:sz w:val="24"/>
          <w:szCs w:val="24"/>
        </w:rPr>
        <w:t>and</w:t>
      </w:r>
      <w:r w:rsidR="006C235F" w:rsidRPr="006C235F">
        <w:rPr>
          <w:rFonts w:ascii="Times New Roman" w:hAnsi="Times New Roman"/>
          <w:sz w:val="24"/>
          <w:szCs w:val="24"/>
        </w:rPr>
        <w:t xml:space="preserve"> focuses on understanding the spatial dynamics of employment-affordable housing for low-income </w:t>
      </w:r>
      <w:r w:rsidR="00B91A2C" w:rsidRPr="006C235F">
        <w:rPr>
          <w:rFonts w:ascii="Times New Roman" w:hAnsi="Times New Roman"/>
          <w:sz w:val="24"/>
          <w:szCs w:val="24"/>
        </w:rPr>
        <w:t>population</w:t>
      </w:r>
      <w:r w:rsidR="00057E3D">
        <w:rPr>
          <w:rFonts w:ascii="Times New Roman" w:hAnsi="Times New Roman"/>
          <w:sz w:val="24"/>
          <w:szCs w:val="24"/>
        </w:rPr>
        <w:t>s</w:t>
      </w:r>
      <w:r w:rsidR="00B91A2C" w:rsidRPr="006C235F">
        <w:rPr>
          <w:rFonts w:ascii="Times New Roman" w:hAnsi="Times New Roman"/>
          <w:sz w:val="24"/>
          <w:szCs w:val="24"/>
        </w:rPr>
        <w:t xml:space="preserve">. </w:t>
      </w:r>
      <w:r w:rsidR="00B91A2C">
        <w:rPr>
          <w:rFonts w:ascii="Times New Roman" w:hAnsi="Times New Roman"/>
          <w:sz w:val="24"/>
          <w:szCs w:val="24"/>
        </w:rPr>
        <w:t xml:space="preserve">The result shows that there is </w:t>
      </w:r>
      <w:r w:rsidR="00E6526A">
        <w:rPr>
          <w:rFonts w:ascii="Times New Roman" w:hAnsi="Times New Roman"/>
          <w:sz w:val="24"/>
          <w:szCs w:val="24"/>
        </w:rPr>
        <w:t xml:space="preserve">a </w:t>
      </w:r>
      <w:r w:rsidR="00830B16">
        <w:rPr>
          <w:rFonts w:ascii="Times New Roman" w:hAnsi="Times New Roman"/>
          <w:sz w:val="24"/>
          <w:szCs w:val="24"/>
        </w:rPr>
        <w:t>mismatch between the suitable locations</w:t>
      </w:r>
      <w:r w:rsidR="00B91A2C">
        <w:rPr>
          <w:rFonts w:ascii="Times New Roman" w:hAnsi="Times New Roman"/>
          <w:sz w:val="24"/>
          <w:szCs w:val="24"/>
        </w:rPr>
        <w:t xml:space="preserve"> </w:t>
      </w:r>
      <w:r w:rsidR="00E6526A">
        <w:rPr>
          <w:rFonts w:ascii="Times New Roman" w:hAnsi="Times New Roman"/>
          <w:sz w:val="24"/>
          <w:szCs w:val="24"/>
        </w:rPr>
        <w:t xml:space="preserve">for low-income housing </w:t>
      </w:r>
      <w:r w:rsidR="00B91A2C">
        <w:rPr>
          <w:rFonts w:ascii="Times New Roman" w:hAnsi="Times New Roman"/>
          <w:sz w:val="24"/>
          <w:szCs w:val="24"/>
        </w:rPr>
        <w:t xml:space="preserve">and </w:t>
      </w:r>
      <w:r w:rsidR="00830B16">
        <w:rPr>
          <w:rFonts w:ascii="Times New Roman" w:hAnsi="Times New Roman"/>
          <w:sz w:val="24"/>
          <w:szCs w:val="24"/>
        </w:rPr>
        <w:t>existing affordable housing</w:t>
      </w:r>
      <w:r w:rsidR="00E6526A">
        <w:rPr>
          <w:rFonts w:ascii="Times New Roman" w:hAnsi="Times New Roman"/>
          <w:sz w:val="24"/>
          <w:szCs w:val="24"/>
        </w:rPr>
        <w:t xml:space="preserve"> locations</w:t>
      </w:r>
      <w:r w:rsidR="00B91A2C">
        <w:rPr>
          <w:rFonts w:ascii="Times New Roman" w:hAnsi="Times New Roman"/>
          <w:sz w:val="24"/>
          <w:szCs w:val="24"/>
        </w:rPr>
        <w:t xml:space="preserve">. </w:t>
      </w:r>
      <w:r w:rsidR="00523121">
        <w:rPr>
          <w:rFonts w:ascii="Times New Roman" w:hAnsi="Times New Roman"/>
          <w:sz w:val="24"/>
          <w:szCs w:val="24"/>
        </w:rPr>
        <w:t>The research also show</w:t>
      </w:r>
      <w:r w:rsidR="006768E0">
        <w:rPr>
          <w:rFonts w:ascii="Times New Roman" w:hAnsi="Times New Roman"/>
          <w:sz w:val="24"/>
          <w:szCs w:val="24"/>
        </w:rPr>
        <w:t>s</w:t>
      </w:r>
      <w:r w:rsidR="00523121">
        <w:rPr>
          <w:rFonts w:ascii="Times New Roman" w:hAnsi="Times New Roman"/>
          <w:sz w:val="24"/>
          <w:szCs w:val="24"/>
        </w:rPr>
        <w:t xml:space="preserve"> areas that have </w:t>
      </w:r>
      <w:r w:rsidR="00CE62AF">
        <w:rPr>
          <w:rFonts w:ascii="Times New Roman" w:hAnsi="Times New Roman"/>
          <w:sz w:val="24"/>
          <w:szCs w:val="24"/>
        </w:rPr>
        <w:t xml:space="preserve">a balance of </w:t>
      </w:r>
      <w:r w:rsidR="00523121">
        <w:rPr>
          <w:rFonts w:ascii="Times New Roman" w:hAnsi="Times New Roman"/>
          <w:sz w:val="24"/>
          <w:szCs w:val="24"/>
        </w:rPr>
        <w:t>supply</w:t>
      </w:r>
      <w:r w:rsidR="00671024">
        <w:rPr>
          <w:rFonts w:ascii="Times New Roman" w:hAnsi="Times New Roman"/>
          <w:sz w:val="24"/>
          <w:szCs w:val="24"/>
        </w:rPr>
        <w:t xml:space="preserve"> and </w:t>
      </w:r>
      <w:r w:rsidR="00523121">
        <w:rPr>
          <w:rFonts w:ascii="Times New Roman" w:hAnsi="Times New Roman"/>
          <w:sz w:val="24"/>
          <w:szCs w:val="24"/>
        </w:rPr>
        <w:t>demand</w:t>
      </w:r>
      <w:r w:rsidR="00CE62AF">
        <w:rPr>
          <w:rFonts w:ascii="Times New Roman" w:hAnsi="Times New Roman"/>
          <w:sz w:val="24"/>
          <w:szCs w:val="24"/>
        </w:rPr>
        <w:t xml:space="preserve">, and </w:t>
      </w:r>
      <w:r w:rsidR="00057E3D">
        <w:rPr>
          <w:rFonts w:ascii="Times New Roman" w:hAnsi="Times New Roman"/>
          <w:sz w:val="24"/>
          <w:szCs w:val="24"/>
        </w:rPr>
        <w:t xml:space="preserve">areas with an </w:t>
      </w:r>
      <w:r w:rsidR="00523121">
        <w:rPr>
          <w:rFonts w:ascii="Times New Roman" w:hAnsi="Times New Roman"/>
          <w:sz w:val="24"/>
          <w:szCs w:val="24"/>
        </w:rPr>
        <w:t xml:space="preserve">oversupply </w:t>
      </w:r>
      <w:r w:rsidR="00671024">
        <w:rPr>
          <w:rFonts w:ascii="Times New Roman" w:hAnsi="Times New Roman"/>
          <w:sz w:val="24"/>
          <w:szCs w:val="24"/>
        </w:rPr>
        <w:t>of assisted housing</w:t>
      </w:r>
      <w:r w:rsidR="00057E3D">
        <w:rPr>
          <w:rFonts w:ascii="Times New Roman" w:hAnsi="Times New Roman"/>
          <w:sz w:val="24"/>
          <w:szCs w:val="24"/>
        </w:rPr>
        <w:t>,</w:t>
      </w:r>
      <w:r w:rsidR="00671024">
        <w:rPr>
          <w:rFonts w:ascii="Times New Roman" w:hAnsi="Times New Roman"/>
          <w:sz w:val="24"/>
          <w:szCs w:val="24"/>
        </w:rPr>
        <w:t xml:space="preserve"> </w:t>
      </w:r>
      <w:r w:rsidR="00523121">
        <w:rPr>
          <w:rFonts w:ascii="Times New Roman" w:hAnsi="Times New Roman"/>
          <w:sz w:val="24"/>
          <w:szCs w:val="24"/>
        </w:rPr>
        <w:t xml:space="preserve">as well as places that are in need of more affordable housing units.  </w:t>
      </w:r>
      <w:r w:rsidR="00A92D07">
        <w:rPr>
          <w:rFonts w:ascii="Times New Roman" w:hAnsi="Times New Roman"/>
          <w:sz w:val="24"/>
          <w:szCs w:val="24"/>
        </w:rPr>
        <w:t>Additionally</w:t>
      </w:r>
      <w:r w:rsidR="00B91A2C">
        <w:rPr>
          <w:rFonts w:ascii="Times New Roman" w:hAnsi="Times New Roman"/>
          <w:sz w:val="24"/>
          <w:szCs w:val="24"/>
        </w:rPr>
        <w:t>, this research</w:t>
      </w:r>
      <w:r w:rsidR="00523121">
        <w:rPr>
          <w:rFonts w:ascii="Times New Roman" w:hAnsi="Times New Roman"/>
          <w:sz w:val="24"/>
          <w:szCs w:val="24"/>
        </w:rPr>
        <w:t xml:space="preserve"> gives rise to </w:t>
      </w:r>
      <w:r w:rsidR="006C235F" w:rsidRPr="006C235F">
        <w:rPr>
          <w:rFonts w:ascii="Times New Roman" w:hAnsi="Times New Roman"/>
          <w:sz w:val="24"/>
          <w:szCs w:val="24"/>
        </w:rPr>
        <w:t>further discussion</w:t>
      </w:r>
      <w:r w:rsidR="00523121">
        <w:rPr>
          <w:rFonts w:ascii="Times New Roman" w:hAnsi="Times New Roman"/>
          <w:sz w:val="24"/>
          <w:szCs w:val="24"/>
        </w:rPr>
        <w:t>s</w:t>
      </w:r>
      <w:r w:rsidR="006C235F" w:rsidRPr="006C235F">
        <w:rPr>
          <w:rFonts w:ascii="Times New Roman" w:hAnsi="Times New Roman"/>
          <w:sz w:val="24"/>
          <w:szCs w:val="24"/>
        </w:rPr>
        <w:t xml:space="preserve"> on strategies </w:t>
      </w:r>
      <w:r w:rsidR="00523121">
        <w:rPr>
          <w:rFonts w:ascii="Times New Roman" w:hAnsi="Times New Roman"/>
          <w:sz w:val="24"/>
          <w:szCs w:val="24"/>
        </w:rPr>
        <w:t xml:space="preserve">to approach </w:t>
      </w:r>
      <w:r w:rsidR="00D07B79">
        <w:rPr>
          <w:rFonts w:ascii="Times New Roman" w:hAnsi="Times New Roman"/>
          <w:sz w:val="24"/>
          <w:szCs w:val="24"/>
        </w:rPr>
        <w:t>the</w:t>
      </w:r>
      <w:r w:rsidR="00523121">
        <w:rPr>
          <w:rFonts w:ascii="Times New Roman" w:hAnsi="Times New Roman"/>
          <w:sz w:val="24"/>
          <w:szCs w:val="24"/>
        </w:rPr>
        <w:t xml:space="preserve"> affordable housing supply and demand analysis</w:t>
      </w:r>
      <w:r w:rsidR="00D07B79">
        <w:rPr>
          <w:rFonts w:ascii="Times New Roman" w:hAnsi="Times New Roman"/>
          <w:sz w:val="24"/>
          <w:szCs w:val="24"/>
        </w:rPr>
        <w:t>, as</w:t>
      </w:r>
      <w:r w:rsidR="00523121">
        <w:rPr>
          <w:rFonts w:ascii="Times New Roman" w:hAnsi="Times New Roman"/>
          <w:sz w:val="24"/>
          <w:szCs w:val="24"/>
        </w:rPr>
        <w:t xml:space="preserve"> </w:t>
      </w:r>
      <w:r w:rsidR="00D07B79">
        <w:rPr>
          <w:rFonts w:ascii="Times New Roman" w:hAnsi="Times New Roman"/>
          <w:sz w:val="24"/>
          <w:szCs w:val="24"/>
        </w:rPr>
        <w:t>well as</w:t>
      </w:r>
      <w:r w:rsidR="006C235F" w:rsidRPr="006C235F">
        <w:rPr>
          <w:rFonts w:ascii="Times New Roman" w:hAnsi="Times New Roman"/>
          <w:sz w:val="24"/>
          <w:szCs w:val="24"/>
        </w:rPr>
        <w:t xml:space="preserve"> </w:t>
      </w:r>
      <w:r w:rsidR="00D07B79">
        <w:rPr>
          <w:rFonts w:ascii="Times New Roman" w:hAnsi="Times New Roman"/>
          <w:sz w:val="24"/>
          <w:szCs w:val="24"/>
        </w:rPr>
        <w:t xml:space="preserve">understanding </w:t>
      </w:r>
      <w:r w:rsidR="006C235F" w:rsidRPr="006C235F">
        <w:rPr>
          <w:rFonts w:ascii="Times New Roman" w:hAnsi="Times New Roman"/>
          <w:sz w:val="24"/>
          <w:szCs w:val="24"/>
        </w:rPr>
        <w:t>spatial</w:t>
      </w:r>
      <w:r w:rsidR="00523121">
        <w:rPr>
          <w:rFonts w:ascii="Times New Roman" w:hAnsi="Times New Roman"/>
          <w:sz w:val="24"/>
          <w:szCs w:val="24"/>
        </w:rPr>
        <w:t xml:space="preserve"> mismatch problems</w:t>
      </w:r>
      <w:r w:rsidR="00D07B79">
        <w:rPr>
          <w:rFonts w:ascii="Times New Roman" w:hAnsi="Times New Roman"/>
          <w:sz w:val="24"/>
          <w:szCs w:val="24"/>
        </w:rPr>
        <w:t>.</w:t>
      </w:r>
    </w:p>
    <w:p w:rsidR="001F5CD0" w:rsidRPr="001E15A7" w:rsidRDefault="001E15A7" w:rsidP="006C22EE">
      <w:pPr>
        <w:pStyle w:val="ListParagraph"/>
        <w:spacing w:line="480" w:lineRule="auto"/>
        <w:ind w:left="0"/>
        <w:rPr>
          <w:b/>
          <w:sz w:val="24"/>
          <w:szCs w:val="24"/>
        </w:rPr>
      </w:pPr>
      <w:r>
        <w:rPr>
          <w:rFonts w:ascii="Times New Roman" w:hAnsi="Times New Roman"/>
          <w:b/>
          <w:sz w:val="24"/>
          <w:szCs w:val="24"/>
        </w:rPr>
        <w:lastRenderedPageBreak/>
        <w:t xml:space="preserve">1 </w:t>
      </w:r>
      <w:r w:rsidR="001F5CD0" w:rsidRPr="001E15A7">
        <w:rPr>
          <w:rFonts w:ascii="Times New Roman" w:hAnsi="Times New Roman"/>
          <w:b/>
          <w:sz w:val="24"/>
          <w:szCs w:val="24"/>
        </w:rPr>
        <w:t>Introduction</w:t>
      </w:r>
    </w:p>
    <w:p w:rsidR="00FA7BAC" w:rsidRDefault="00322DA8" w:rsidP="00A53578">
      <w:pPr>
        <w:spacing w:line="480" w:lineRule="auto"/>
        <w:ind w:firstLine="630"/>
        <w:rPr>
          <w:rFonts w:ascii="Times New Roman" w:hAnsi="Times New Roman"/>
          <w:sz w:val="24"/>
          <w:szCs w:val="24"/>
        </w:rPr>
      </w:pPr>
      <w:r>
        <w:rPr>
          <w:rFonts w:ascii="Times New Roman" w:hAnsi="Times New Roman"/>
          <w:sz w:val="24"/>
          <w:szCs w:val="24"/>
        </w:rPr>
        <w:t>CNT</w:t>
      </w:r>
      <w:r w:rsidR="001F5CD0" w:rsidRPr="001F5CD0">
        <w:rPr>
          <w:rFonts w:ascii="Times New Roman" w:hAnsi="Times New Roman"/>
          <w:sz w:val="24"/>
          <w:szCs w:val="24"/>
        </w:rPr>
        <w:t xml:space="preserve"> </w:t>
      </w:r>
      <w:r w:rsidR="00D3374F" w:rsidRPr="001F5CD0">
        <w:rPr>
          <w:rFonts w:ascii="Times New Roman" w:hAnsi="Times New Roman"/>
          <w:sz w:val="24"/>
          <w:szCs w:val="24"/>
        </w:rPr>
        <w:t>was</w:t>
      </w:r>
      <w:r w:rsidR="001F5CD0" w:rsidRPr="001F5CD0">
        <w:rPr>
          <w:rFonts w:ascii="Times New Roman" w:hAnsi="Times New Roman"/>
          <w:sz w:val="24"/>
          <w:szCs w:val="24"/>
        </w:rPr>
        <w:t xml:space="preserve"> the first to create the </w:t>
      </w:r>
      <w:r w:rsidR="00D3374F">
        <w:rPr>
          <w:rFonts w:ascii="Times New Roman" w:hAnsi="Times New Roman"/>
          <w:sz w:val="24"/>
          <w:szCs w:val="24"/>
        </w:rPr>
        <w:t>“</w:t>
      </w:r>
      <w:r w:rsidR="001F5CD0" w:rsidRPr="001F5CD0">
        <w:rPr>
          <w:rFonts w:ascii="Times New Roman" w:hAnsi="Times New Roman"/>
          <w:sz w:val="24"/>
          <w:szCs w:val="24"/>
        </w:rPr>
        <w:t>H+T</w:t>
      </w:r>
      <w:r w:rsidR="00D3374F">
        <w:rPr>
          <w:rFonts w:ascii="Times New Roman" w:hAnsi="Times New Roman"/>
          <w:sz w:val="24"/>
          <w:szCs w:val="24"/>
        </w:rPr>
        <w:t>”</w:t>
      </w:r>
      <w:r w:rsidR="001F5CD0" w:rsidRPr="001F5CD0">
        <w:rPr>
          <w:rFonts w:ascii="Times New Roman" w:hAnsi="Times New Roman"/>
          <w:sz w:val="24"/>
          <w:szCs w:val="24"/>
        </w:rPr>
        <w:t xml:space="preserve"> index which estimates affordability by </w:t>
      </w:r>
      <w:r w:rsidR="00C63FD0">
        <w:rPr>
          <w:rFonts w:ascii="Times New Roman" w:hAnsi="Times New Roman"/>
          <w:sz w:val="24"/>
          <w:szCs w:val="24"/>
        </w:rPr>
        <w:t xml:space="preserve">spatially </w:t>
      </w:r>
      <w:r w:rsidR="001F5CD0" w:rsidRPr="001F5CD0">
        <w:rPr>
          <w:rFonts w:ascii="Times New Roman" w:hAnsi="Times New Roman"/>
          <w:sz w:val="24"/>
          <w:szCs w:val="24"/>
        </w:rPr>
        <w:t xml:space="preserve">calculating the cost of housing and transportation </w:t>
      </w:r>
      <w:r w:rsidR="004414C6">
        <w:rPr>
          <w:rFonts w:ascii="Times New Roman" w:hAnsi="Times New Roman"/>
          <w:sz w:val="24"/>
          <w:szCs w:val="24"/>
        </w:rPr>
        <w:t>and relat</w:t>
      </w:r>
      <w:r w:rsidR="00C63FD0">
        <w:rPr>
          <w:rFonts w:ascii="Times New Roman" w:hAnsi="Times New Roman"/>
          <w:sz w:val="24"/>
          <w:szCs w:val="24"/>
        </w:rPr>
        <w:t>ing</w:t>
      </w:r>
      <w:r w:rsidR="004414C6">
        <w:rPr>
          <w:rFonts w:ascii="Times New Roman" w:hAnsi="Times New Roman"/>
          <w:sz w:val="24"/>
          <w:szCs w:val="24"/>
        </w:rPr>
        <w:t xml:space="preserve"> them to </w:t>
      </w:r>
      <w:r w:rsidR="00C63FD0">
        <w:rPr>
          <w:rFonts w:ascii="Times New Roman" w:hAnsi="Times New Roman"/>
          <w:sz w:val="24"/>
          <w:szCs w:val="24"/>
        </w:rPr>
        <w:t xml:space="preserve">household </w:t>
      </w:r>
      <w:r w:rsidR="004414C6">
        <w:rPr>
          <w:rFonts w:ascii="Times New Roman" w:hAnsi="Times New Roman"/>
          <w:sz w:val="24"/>
          <w:szCs w:val="24"/>
        </w:rPr>
        <w:t>income</w:t>
      </w:r>
      <w:r w:rsidR="006E42D1">
        <w:rPr>
          <w:rFonts w:ascii="Times New Roman" w:hAnsi="Times New Roman"/>
          <w:sz w:val="24"/>
          <w:szCs w:val="24"/>
        </w:rPr>
        <w:t xml:space="preserve"> (CNT, 2010)</w:t>
      </w:r>
      <w:r w:rsidR="001F5CD0" w:rsidRPr="001F5CD0">
        <w:rPr>
          <w:rFonts w:ascii="Times New Roman" w:hAnsi="Times New Roman"/>
          <w:sz w:val="24"/>
          <w:szCs w:val="24"/>
        </w:rPr>
        <w:t xml:space="preserve">. </w:t>
      </w:r>
      <w:r w:rsidR="00663D39">
        <w:rPr>
          <w:rFonts w:ascii="Times New Roman" w:hAnsi="Times New Roman"/>
          <w:sz w:val="24"/>
          <w:szCs w:val="24"/>
        </w:rPr>
        <w:t xml:space="preserve"> </w:t>
      </w:r>
      <w:r w:rsidR="001F5CD0" w:rsidRPr="001F5CD0">
        <w:rPr>
          <w:rFonts w:ascii="Times New Roman" w:hAnsi="Times New Roman"/>
          <w:sz w:val="24"/>
          <w:szCs w:val="24"/>
        </w:rPr>
        <w:t xml:space="preserve">However, </w:t>
      </w:r>
      <w:r w:rsidR="0041259B">
        <w:rPr>
          <w:rFonts w:ascii="Times New Roman" w:hAnsi="Times New Roman"/>
          <w:sz w:val="24"/>
          <w:szCs w:val="24"/>
        </w:rPr>
        <w:t>suitable</w:t>
      </w:r>
      <w:r w:rsidR="001F5CD0" w:rsidRPr="001F5CD0">
        <w:rPr>
          <w:rFonts w:ascii="Times New Roman" w:hAnsi="Times New Roman"/>
          <w:sz w:val="24"/>
          <w:szCs w:val="24"/>
        </w:rPr>
        <w:t xml:space="preserve"> </w:t>
      </w:r>
      <w:r w:rsidR="00663D39">
        <w:rPr>
          <w:rFonts w:ascii="Times New Roman" w:hAnsi="Times New Roman"/>
          <w:sz w:val="24"/>
          <w:szCs w:val="24"/>
        </w:rPr>
        <w:t>locations</w:t>
      </w:r>
      <w:r w:rsidR="00663D39" w:rsidRPr="001F5CD0">
        <w:rPr>
          <w:rFonts w:ascii="Times New Roman" w:hAnsi="Times New Roman"/>
          <w:sz w:val="24"/>
          <w:szCs w:val="24"/>
        </w:rPr>
        <w:t xml:space="preserve"> </w:t>
      </w:r>
      <w:r w:rsidR="001F5CD0" w:rsidRPr="001F5CD0">
        <w:rPr>
          <w:rFonts w:ascii="Times New Roman" w:hAnsi="Times New Roman"/>
          <w:sz w:val="24"/>
          <w:szCs w:val="24"/>
        </w:rPr>
        <w:t xml:space="preserve">for affordable housing </w:t>
      </w:r>
      <w:r w:rsidR="0041259B">
        <w:rPr>
          <w:rFonts w:ascii="Times New Roman" w:hAnsi="Times New Roman"/>
          <w:sz w:val="24"/>
          <w:szCs w:val="24"/>
        </w:rPr>
        <w:t xml:space="preserve">also </w:t>
      </w:r>
      <w:r w:rsidR="001F5CD0" w:rsidRPr="001F5CD0">
        <w:rPr>
          <w:rFonts w:ascii="Times New Roman" w:hAnsi="Times New Roman"/>
          <w:sz w:val="24"/>
          <w:szCs w:val="24"/>
        </w:rPr>
        <w:t>depend on other neighborhood and socio</w:t>
      </w:r>
      <w:r w:rsidR="0041259B">
        <w:rPr>
          <w:rFonts w:ascii="Times New Roman" w:hAnsi="Times New Roman"/>
          <w:sz w:val="24"/>
          <w:szCs w:val="24"/>
        </w:rPr>
        <w:t>-</w:t>
      </w:r>
      <w:r w:rsidR="001F5CD0" w:rsidRPr="001F5CD0">
        <w:rPr>
          <w:rFonts w:ascii="Times New Roman" w:hAnsi="Times New Roman"/>
          <w:sz w:val="24"/>
          <w:szCs w:val="24"/>
        </w:rPr>
        <w:t xml:space="preserve">economic characteristics that are not included </w:t>
      </w:r>
      <w:r w:rsidR="00F72DBF">
        <w:rPr>
          <w:rFonts w:ascii="Times New Roman" w:hAnsi="Times New Roman"/>
          <w:sz w:val="24"/>
          <w:szCs w:val="24"/>
        </w:rPr>
        <w:t xml:space="preserve">directly </w:t>
      </w:r>
      <w:r w:rsidR="001F5CD0" w:rsidRPr="001F5CD0">
        <w:rPr>
          <w:rFonts w:ascii="Times New Roman" w:hAnsi="Times New Roman"/>
          <w:sz w:val="24"/>
          <w:szCs w:val="24"/>
        </w:rPr>
        <w:t xml:space="preserve">in the CNT’s </w:t>
      </w:r>
      <w:r w:rsidR="00D3374F">
        <w:rPr>
          <w:rFonts w:ascii="Times New Roman" w:hAnsi="Times New Roman"/>
          <w:sz w:val="24"/>
          <w:szCs w:val="24"/>
        </w:rPr>
        <w:t>“</w:t>
      </w:r>
      <w:r w:rsidR="001F5CD0" w:rsidRPr="001F5CD0">
        <w:rPr>
          <w:rFonts w:ascii="Times New Roman" w:hAnsi="Times New Roman"/>
          <w:sz w:val="24"/>
          <w:szCs w:val="24"/>
        </w:rPr>
        <w:t>H+T</w:t>
      </w:r>
      <w:r w:rsidR="00D3374F">
        <w:rPr>
          <w:rFonts w:ascii="Times New Roman" w:hAnsi="Times New Roman"/>
          <w:sz w:val="24"/>
          <w:szCs w:val="24"/>
        </w:rPr>
        <w:t>”</w:t>
      </w:r>
      <w:r w:rsidR="001F5CD0" w:rsidRPr="001F5CD0">
        <w:rPr>
          <w:rFonts w:ascii="Times New Roman" w:hAnsi="Times New Roman"/>
          <w:sz w:val="24"/>
          <w:szCs w:val="24"/>
        </w:rPr>
        <w:t xml:space="preserve"> index. </w:t>
      </w:r>
      <w:r w:rsidR="00663D39">
        <w:rPr>
          <w:rFonts w:ascii="Times New Roman" w:hAnsi="Times New Roman"/>
          <w:sz w:val="24"/>
          <w:szCs w:val="24"/>
        </w:rPr>
        <w:t xml:space="preserve"> </w:t>
      </w:r>
      <w:r w:rsidR="00706AE9">
        <w:rPr>
          <w:rFonts w:ascii="Times New Roman" w:hAnsi="Times New Roman"/>
          <w:sz w:val="24"/>
          <w:szCs w:val="24"/>
        </w:rPr>
        <w:t>The Affordable Housing Suitability model</w:t>
      </w:r>
      <w:r w:rsidR="004414C6">
        <w:rPr>
          <w:rFonts w:ascii="Times New Roman" w:hAnsi="Times New Roman"/>
          <w:sz w:val="24"/>
          <w:szCs w:val="24"/>
        </w:rPr>
        <w:t xml:space="preserve"> (AHS) </w:t>
      </w:r>
      <w:r w:rsidR="00663D39">
        <w:rPr>
          <w:rFonts w:ascii="Times New Roman" w:hAnsi="Times New Roman"/>
          <w:sz w:val="24"/>
          <w:szCs w:val="24"/>
        </w:rPr>
        <w:t>was</w:t>
      </w:r>
      <w:r w:rsidR="00706AE9">
        <w:rPr>
          <w:rFonts w:ascii="Times New Roman" w:hAnsi="Times New Roman"/>
          <w:sz w:val="24"/>
          <w:szCs w:val="24"/>
        </w:rPr>
        <w:t xml:space="preserve"> developed by the University of Florida to assist local communities in the allocation and preservation of affordable housing sites (AHS, 2009). In addition to the </w:t>
      </w:r>
      <w:r w:rsidR="00111337" w:rsidRPr="001F5CD0">
        <w:rPr>
          <w:rFonts w:ascii="Times New Roman" w:hAnsi="Times New Roman"/>
          <w:sz w:val="24"/>
          <w:szCs w:val="24"/>
        </w:rPr>
        <w:t>characteristics of parcels</w:t>
      </w:r>
      <w:r w:rsidR="00111337">
        <w:rPr>
          <w:rFonts w:ascii="Times New Roman" w:hAnsi="Times New Roman"/>
          <w:sz w:val="24"/>
          <w:szCs w:val="24"/>
        </w:rPr>
        <w:t>,</w:t>
      </w:r>
      <w:r w:rsidR="00111337" w:rsidRPr="001F5CD0">
        <w:rPr>
          <w:rFonts w:ascii="Times New Roman" w:hAnsi="Times New Roman"/>
          <w:sz w:val="24"/>
          <w:szCs w:val="24"/>
        </w:rPr>
        <w:t xml:space="preserve"> </w:t>
      </w:r>
      <w:r w:rsidR="00663D39">
        <w:rPr>
          <w:rFonts w:ascii="Times New Roman" w:hAnsi="Times New Roman"/>
          <w:sz w:val="24"/>
          <w:szCs w:val="24"/>
        </w:rPr>
        <w:t xml:space="preserve">the </w:t>
      </w:r>
      <w:r w:rsidR="00706AE9">
        <w:rPr>
          <w:rFonts w:ascii="Times New Roman" w:hAnsi="Times New Roman"/>
          <w:sz w:val="24"/>
          <w:szCs w:val="24"/>
        </w:rPr>
        <w:t>AHS</w:t>
      </w:r>
      <w:r w:rsidR="001F5CD0" w:rsidRPr="001F5CD0">
        <w:rPr>
          <w:rFonts w:ascii="Times New Roman" w:hAnsi="Times New Roman"/>
          <w:sz w:val="24"/>
          <w:szCs w:val="24"/>
        </w:rPr>
        <w:t xml:space="preserve"> incorporates travel cost</w:t>
      </w:r>
      <w:r w:rsidR="0041259B">
        <w:rPr>
          <w:rFonts w:ascii="Times New Roman" w:hAnsi="Times New Roman"/>
          <w:sz w:val="24"/>
          <w:szCs w:val="24"/>
        </w:rPr>
        <w:t xml:space="preserve">, </w:t>
      </w:r>
      <w:r w:rsidR="001F5CD0" w:rsidRPr="001F5CD0">
        <w:rPr>
          <w:rFonts w:ascii="Times New Roman" w:hAnsi="Times New Roman"/>
          <w:sz w:val="24"/>
          <w:szCs w:val="24"/>
        </w:rPr>
        <w:t>socio</w:t>
      </w:r>
      <w:r w:rsidR="001F5CD0" w:rsidRPr="001F5CD0">
        <w:rPr>
          <w:sz w:val="24"/>
          <w:szCs w:val="24"/>
        </w:rPr>
        <w:t>‐</w:t>
      </w:r>
      <w:r w:rsidR="001F5CD0" w:rsidRPr="001F5CD0">
        <w:rPr>
          <w:rFonts w:ascii="Times New Roman" w:hAnsi="Times New Roman"/>
          <w:sz w:val="24"/>
          <w:szCs w:val="24"/>
        </w:rPr>
        <w:t>economic character</w:t>
      </w:r>
      <w:r w:rsidR="00706AE9">
        <w:rPr>
          <w:rFonts w:ascii="Times New Roman" w:hAnsi="Times New Roman"/>
          <w:sz w:val="24"/>
          <w:szCs w:val="24"/>
        </w:rPr>
        <w:t xml:space="preserve">istics and housing cost in the </w:t>
      </w:r>
      <w:r w:rsidR="001F5CD0" w:rsidRPr="001F5CD0">
        <w:rPr>
          <w:rFonts w:ascii="Times New Roman" w:hAnsi="Times New Roman"/>
          <w:sz w:val="24"/>
          <w:szCs w:val="24"/>
        </w:rPr>
        <w:t xml:space="preserve">allocation process. </w:t>
      </w:r>
      <w:r w:rsidR="00663D39">
        <w:rPr>
          <w:rFonts w:ascii="Times New Roman" w:hAnsi="Times New Roman"/>
          <w:sz w:val="24"/>
          <w:szCs w:val="24"/>
        </w:rPr>
        <w:t xml:space="preserve"> </w:t>
      </w:r>
    </w:p>
    <w:p w:rsidR="000121FD" w:rsidRDefault="00290926" w:rsidP="000121FD">
      <w:pPr>
        <w:spacing w:line="480" w:lineRule="auto"/>
        <w:ind w:firstLine="630"/>
        <w:rPr>
          <w:rFonts w:ascii="Times New Roman" w:hAnsi="Times New Roman"/>
          <w:sz w:val="24"/>
          <w:szCs w:val="24"/>
        </w:rPr>
      </w:pPr>
      <w:r>
        <w:rPr>
          <w:rFonts w:ascii="Times New Roman" w:hAnsi="Times New Roman"/>
          <w:sz w:val="24"/>
          <w:szCs w:val="24"/>
        </w:rPr>
        <w:t>H</w:t>
      </w:r>
      <w:r w:rsidR="0041259B" w:rsidRPr="001F5CD0">
        <w:rPr>
          <w:rFonts w:ascii="Times New Roman" w:hAnsi="Times New Roman"/>
          <w:sz w:val="24"/>
          <w:szCs w:val="24"/>
        </w:rPr>
        <w:t>ousing</w:t>
      </w:r>
      <w:r w:rsidR="0041259B">
        <w:rPr>
          <w:rFonts w:ascii="Times New Roman" w:hAnsi="Times New Roman"/>
          <w:sz w:val="24"/>
          <w:szCs w:val="24"/>
        </w:rPr>
        <w:t xml:space="preserve"> </w:t>
      </w:r>
      <w:r w:rsidR="001F5CD0" w:rsidRPr="001F5CD0">
        <w:rPr>
          <w:rFonts w:ascii="Times New Roman" w:hAnsi="Times New Roman"/>
          <w:sz w:val="24"/>
          <w:szCs w:val="24"/>
        </w:rPr>
        <w:t>supply and demand analysis</w:t>
      </w:r>
      <w:r w:rsidR="0041259B">
        <w:rPr>
          <w:rFonts w:ascii="Times New Roman" w:hAnsi="Times New Roman"/>
          <w:sz w:val="24"/>
          <w:szCs w:val="24"/>
        </w:rPr>
        <w:t xml:space="preserve"> </w:t>
      </w:r>
      <w:r w:rsidR="006E42D1">
        <w:rPr>
          <w:rFonts w:ascii="Times New Roman" w:hAnsi="Times New Roman"/>
          <w:sz w:val="24"/>
          <w:szCs w:val="24"/>
        </w:rPr>
        <w:t>is developed in this</w:t>
      </w:r>
      <w:r w:rsidR="0041259B">
        <w:rPr>
          <w:rFonts w:ascii="Times New Roman" w:hAnsi="Times New Roman"/>
          <w:sz w:val="24"/>
          <w:szCs w:val="24"/>
        </w:rPr>
        <w:t xml:space="preserve"> study</w:t>
      </w:r>
      <w:r w:rsidR="006E42D1">
        <w:rPr>
          <w:rFonts w:ascii="Times New Roman" w:hAnsi="Times New Roman"/>
          <w:sz w:val="24"/>
          <w:szCs w:val="24"/>
        </w:rPr>
        <w:t xml:space="preserve"> </w:t>
      </w:r>
      <w:r w:rsidR="00156374">
        <w:rPr>
          <w:rFonts w:ascii="Times New Roman" w:hAnsi="Times New Roman"/>
          <w:sz w:val="24"/>
          <w:szCs w:val="24"/>
        </w:rPr>
        <w:t xml:space="preserve">for incorporation into the AHS </w:t>
      </w:r>
      <w:r w:rsidR="00706AE9">
        <w:rPr>
          <w:rFonts w:ascii="Times New Roman" w:hAnsi="Times New Roman"/>
          <w:sz w:val="24"/>
          <w:szCs w:val="24"/>
        </w:rPr>
        <w:t xml:space="preserve">for </w:t>
      </w:r>
      <w:r w:rsidR="006E42D1">
        <w:rPr>
          <w:rFonts w:ascii="Times New Roman" w:hAnsi="Times New Roman"/>
          <w:sz w:val="24"/>
          <w:szCs w:val="24"/>
        </w:rPr>
        <w:t xml:space="preserve">the purpose of </w:t>
      </w:r>
      <w:r w:rsidR="00706AE9">
        <w:rPr>
          <w:rFonts w:ascii="Times New Roman" w:hAnsi="Times New Roman"/>
          <w:sz w:val="24"/>
          <w:szCs w:val="24"/>
        </w:rPr>
        <w:t xml:space="preserve">scoring </w:t>
      </w:r>
      <w:r w:rsidR="00156374">
        <w:rPr>
          <w:rFonts w:ascii="Times New Roman" w:hAnsi="Times New Roman"/>
          <w:sz w:val="24"/>
          <w:szCs w:val="24"/>
        </w:rPr>
        <w:t xml:space="preserve">suitable land for </w:t>
      </w:r>
      <w:r w:rsidR="00706AE9" w:rsidRPr="001F5CD0">
        <w:rPr>
          <w:rFonts w:ascii="Times New Roman" w:hAnsi="Times New Roman"/>
          <w:sz w:val="24"/>
          <w:szCs w:val="24"/>
        </w:rPr>
        <w:t>affordable housing</w:t>
      </w:r>
      <w:r w:rsidR="001F5CD0" w:rsidRPr="001F5CD0">
        <w:rPr>
          <w:rFonts w:ascii="Times New Roman" w:hAnsi="Times New Roman"/>
          <w:sz w:val="24"/>
          <w:szCs w:val="24"/>
        </w:rPr>
        <w:t xml:space="preserve">. This paper will </w:t>
      </w:r>
      <w:r w:rsidR="00530CA2">
        <w:rPr>
          <w:rFonts w:ascii="Times New Roman" w:hAnsi="Times New Roman"/>
          <w:sz w:val="24"/>
          <w:szCs w:val="24"/>
        </w:rPr>
        <w:t xml:space="preserve">carry </w:t>
      </w:r>
      <w:r w:rsidR="00111337">
        <w:rPr>
          <w:rFonts w:ascii="Times New Roman" w:hAnsi="Times New Roman"/>
          <w:sz w:val="24"/>
          <w:szCs w:val="24"/>
        </w:rPr>
        <w:t xml:space="preserve">out </w:t>
      </w:r>
      <w:r w:rsidR="00530CA2">
        <w:rPr>
          <w:rFonts w:ascii="Times New Roman" w:hAnsi="Times New Roman"/>
          <w:sz w:val="24"/>
          <w:szCs w:val="24"/>
        </w:rPr>
        <w:t xml:space="preserve">two </w:t>
      </w:r>
      <w:r w:rsidR="000F4F48">
        <w:rPr>
          <w:rFonts w:ascii="Times New Roman" w:hAnsi="Times New Roman"/>
          <w:sz w:val="24"/>
          <w:szCs w:val="24"/>
        </w:rPr>
        <w:t>comparisons</w:t>
      </w:r>
      <w:r w:rsidR="00530CA2">
        <w:rPr>
          <w:rFonts w:ascii="Times New Roman" w:hAnsi="Times New Roman"/>
          <w:sz w:val="24"/>
          <w:szCs w:val="24"/>
        </w:rPr>
        <w:t xml:space="preserve"> among the results of the spatial mismatch</w:t>
      </w:r>
      <w:r w:rsidR="00FA7BAC">
        <w:rPr>
          <w:rFonts w:ascii="Times New Roman" w:hAnsi="Times New Roman"/>
          <w:sz w:val="24"/>
          <w:szCs w:val="24"/>
        </w:rPr>
        <w:t xml:space="preserve"> between housing and jobs</w:t>
      </w:r>
      <w:r w:rsidR="00530CA2">
        <w:rPr>
          <w:rFonts w:ascii="Times New Roman" w:hAnsi="Times New Roman"/>
          <w:sz w:val="24"/>
          <w:szCs w:val="24"/>
        </w:rPr>
        <w:t xml:space="preserve"> </w:t>
      </w:r>
      <w:r w:rsidR="001F5CD0" w:rsidRPr="001F5CD0">
        <w:rPr>
          <w:rFonts w:ascii="Times New Roman" w:hAnsi="Times New Roman"/>
          <w:sz w:val="24"/>
          <w:szCs w:val="24"/>
        </w:rPr>
        <w:t>by incorporating spatially discriminated multilevel supply</w:t>
      </w:r>
      <w:r w:rsidR="00FA7BAC">
        <w:rPr>
          <w:rFonts w:ascii="Times New Roman" w:hAnsi="Times New Roman"/>
          <w:sz w:val="24"/>
          <w:szCs w:val="24"/>
        </w:rPr>
        <w:t>-</w:t>
      </w:r>
      <w:r w:rsidR="001F5CD0" w:rsidRPr="001F5CD0">
        <w:rPr>
          <w:rFonts w:ascii="Times New Roman" w:hAnsi="Times New Roman"/>
          <w:sz w:val="24"/>
          <w:szCs w:val="24"/>
        </w:rPr>
        <w:t xml:space="preserve">demand analysis. To estimate the demand for affordable housing, the new method will use a </w:t>
      </w:r>
      <w:r w:rsidR="00916907">
        <w:rPr>
          <w:rFonts w:ascii="Times New Roman" w:hAnsi="Times New Roman"/>
          <w:sz w:val="24"/>
          <w:szCs w:val="24"/>
        </w:rPr>
        <w:t xml:space="preserve">road </w:t>
      </w:r>
      <w:r w:rsidR="0041259B">
        <w:rPr>
          <w:rFonts w:ascii="Times New Roman" w:hAnsi="Times New Roman"/>
          <w:sz w:val="24"/>
          <w:szCs w:val="24"/>
        </w:rPr>
        <w:t>network</w:t>
      </w:r>
      <w:r w:rsidR="00FA7BAC">
        <w:rPr>
          <w:rFonts w:ascii="Times New Roman" w:hAnsi="Times New Roman"/>
          <w:sz w:val="24"/>
          <w:szCs w:val="24"/>
        </w:rPr>
        <w:t>-</w:t>
      </w:r>
      <w:r w:rsidR="00916907">
        <w:rPr>
          <w:rFonts w:ascii="Times New Roman" w:hAnsi="Times New Roman"/>
          <w:sz w:val="24"/>
          <w:szCs w:val="24"/>
        </w:rPr>
        <w:t xml:space="preserve">based </w:t>
      </w:r>
      <w:r w:rsidR="0041259B">
        <w:rPr>
          <w:rFonts w:ascii="Times New Roman" w:hAnsi="Times New Roman"/>
          <w:sz w:val="24"/>
          <w:szCs w:val="24"/>
        </w:rPr>
        <w:t>distance</w:t>
      </w:r>
      <w:r w:rsidR="001F5CD0" w:rsidRPr="001F5CD0">
        <w:rPr>
          <w:rFonts w:ascii="Times New Roman" w:hAnsi="Times New Roman"/>
          <w:sz w:val="24"/>
          <w:szCs w:val="24"/>
        </w:rPr>
        <w:t xml:space="preserve"> shed around each residential parcel to capture the parcel</w:t>
      </w:r>
      <w:r w:rsidR="001F5CD0" w:rsidRPr="001F5CD0">
        <w:rPr>
          <w:sz w:val="24"/>
          <w:szCs w:val="24"/>
        </w:rPr>
        <w:t>‐</w:t>
      </w:r>
      <w:r w:rsidR="001F5CD0" w:rsidRPr="001F5CD0">
        <w:rPr>
          <w:rFonts w:ascii="Times New Roman" w:hAnsi="Times New Roman"/>
          <w:sz w:val="24"/>
          <w:szCs w:val="24"/>
        </w:rPr>
        <w:t>level employment. The parcel</w:t>
      </w:r>
      <w:r w:rsidR="001F5CD0" w:rsidRPr="001F5CD0">
        <w:rPr>
          <w:sz w:val="24"/>
          <w:szCs w:val="24"/>
        </w:rPr>
        <w:t>‐</w:t>
      </w:r>
      <w:r w:rsidR="001F5CD0" w:rsidRPr="001F5CD0">
        <w:rPr>
          <w:rFonts w:ascii="Times New Roman" w:hAnsi="Times New Roman"/>
          <w:sz w:val="24"/>
          <w:szCs w:val="24"/>
        </w:rPr>
        <w:t>level employment data is generated by matching the Census Bureau’s Longitudinal Employer</w:t>
      </w:r>
      <w:r w:rsidR="001F5CD0" w:rsidRPr="001F5CD0">
        <w:rPr>
          <w:sz w:val="24"/>
          <w:szCs w:val="24"/>
        </w:rPr>
        <w:t>‐</w:t>
      </w:r>
      <w:r w:rsidR="001F5CD0" w:rsidRPr="001F5CD0">
        <w:rPr>
          <w:rFonts w:ascii="Times New Roman" w:hAnsi="Times New Roman"/>
          <w:sz w:val="24"/>
          <w:szCs w:val="24"/>
        </w:rPr>
        <w:t xml:space="preserve">Household Dynamics (LEHD) </w:t>
      </w:r>
      <w:r w:rsidR="00FA7BAC">
        <w:rPr>
          <w:rFonts w:ascii="Times New Roman" w:hAnsi="Times New Roman"/>
          <w:sz w:val="24"/>
          <w:szCs w:val="24"/>
        </w:rPr>
        <w:t xml:space="preserve">data </w:t>
      </w:r>
      <w:r w:rsidR="001F5CD0" w:rsidRPr="001F5CD0">
        <w:rPr>
          <w:rFonts w:ascii="Times New Roman" w:hAnsi="Times New Roman"/>
          <w:sz w:val="24"/>
          <w:szCs w:val="24"/>
        </w:rPr>
        <w:t xml:space="preserve">and data from other sources </w:t>
      </w:r>
      <w:r w:rsidR="006E42D1">
        <w:rPr>
          <w:rFonts w:ascii="Times New Roman" w:hAnsi="Times New Roman"/>
          <w:sz w:val="24"/>
          <w:szCs w:val="24"/>
        </w:rPr>
        <w:t xml:space="preserve">such </w:t>
      </w:r>
      <w:r w:rsidR="00FA7BAC">
        <w:rPr>
          <w:rFonts w:ascii="Times New Roman" w:hAnsi="Times New Roman"/>
          <w:sz w:val="24"/>
          <w:szCs w:val="24"/>
        </w:rPr>
        <w:t xml:space="preserve">as </w:t>
      </w:r>
      <w:r w:rsidR="006E42D1">
        <w:rPr>
          <w:rFonts w:ascii="Times New Roman" w:hAnsi="Times New Roman"/>
          <w:sz w:val="24"/>
          <w:szCs w:val="24"/>
        </w:rPr>
        <w:t>land use,</w:t>
      </w:r>
      <w:r w:rsidR="001F5CD0" w:rsidRPr="001F5CD0">
        <w:rPr>
          <w:rFonts w:ascii="Times New Roman" w:hAnsi="Times New Roman"/>
          <w:sz w:val="24"/>
          <w:szCs w:val="24"/>
        </w:rPr>
        <w:t xml:space="preserve"> parcels</w:t>
      </w:r>
      <w:r w:rsidR="006E42D1">
        <w:rPr>
          <w:rFonts w:ascii="Times New Roman" w:hAnsi="Times New Roman"/>
          <w:sz w:val="24"/>
          <w:szCs w:val="24"/>
        </w:rPr>
        <w:t xml:space="preserve"> or property appraisal</w:t>
      </w:r>
      <w:r w:rsidR="00FA7BAC">
        <w:rPr>
          <w:rFonts w:ascii="Times New Roman" w:hAnsi="Times New Roman"/>
          <w:sz w:val="24"/>
          <w:szCs w:val="24"/>
        </w:rPr>
        <w:t xml:space="preserve"> data</w:t>
      </w:r>
      <w:r w:rsidR="001F5CD0" w:rsidRPr="001F5CD0">
        <w:rPr>
          <w:rFonts w:ascii="Times New Roman" w:hAnsi="Times New Roman"/>
          <w:sz w:val="24"/>
          <w:szCs w:val="24"/>
        </w:rPr>
        <w:t>. The supply will be estimated using geo</w:t>
      </w:r>
      <w:r w:rsidR="001F5CD0" w:rsidRPr="001F5CD0">
        <w:rPr>
          <w:sz w:val="24"/>
          <w:szCs w:val="24"/>
        </w:rPr>
        <w:t>‐</w:t>
      </w:r>
      <w:r w:rsidR="001F5CD0" w:rsidRPr="001F5CD0">
        <w:rPr>
          <w:rFonts w:ascii="Times New Roman" w:hAnsi="Times New Roman"/>
          <w:sz w:val="24"/>
          <w:szCs w:val="24"/>
        </w:rPr>
        <w:t xml:space="preserve">spatial modeling based on the current locations of assisted and affordable housing. The comparison of supply and demand will allow spatial analysis of the </w:t>
      </w:r>
      <w:r w:rsidR="001F5CD0" w:rsidRPr="001F5CD0">
        <w:rPr>
          <w:rFonts w:ascii="Times New Roman" w:hAnsi="Times New Roman"/>
          <w:sz w:val="24"/>
          <w:szCs w:val="24"/>
        </w:rPr>
        <w:lastRenderedPageBreak/>
        <w:t>localized needs for housing</w:t>
      </w:r>
      <w:r w:rsidR="001304CD">
        <w:rPr>
          <w:rFonts w:ascii="Times New Roman" w:hAnsi="Times New Roman"/>
          <w:sz w:val="24"/>
          <w:szCs w:val="24"/>
        </w:rPr>
        <w:t>,</w:t>
      </w:r>
      <w:r w:rsidR="001F5CD0" w:rsidRPr="001F5CD0">
        <w:rPr>
          <w:rFonts w:ascii="Times New Roman" w:hAnsi="Times New Roman"/>
          <w:sz w:val="24"/>
          <w:szCs w:val="24"/>
        </w:rPr>
        <w:t xml:space="preserve"> providing valuable information for the prioritization and allocation of public resources for </w:t>
      </w:r>
      <w:r w:rsidR="001750B5">
        <w:rPr>
          <w:rFonts w:ascii="Times New Roman" w:hAnsi="Times New Roman"/>
          <w:sz w:val="24"/>
          <w:szCs w:val="24"/>
        </w:rPr>
        <w:t>the provision of affordable housing</w:t>
      </w:r>
      <w:r w:rsidR="001F5CD0" w:rsidRPr="001F5CD0">
        <w:rPr>
          <w:rFonts w:ascii="Times New Roman" w:hAnsi="Times New Roman"/>
          <w:sz w:val="24"/>
          <w:szCs w:val="24"/>
        </w:rPr>
        <w:t>.</w:t>
      </w:r>
    </w:p>
    <w:p w:rsidR="00E04B75" w:rsidRDefault="00A8565D" w:rsidP="000121FD">
      <w:pPr>
        <w:spacing w:line="480" w:lineRule="auto"/>
        <w:rPr>
          <w:rFonts w:ascii="Times New Roman" w:hAnsi="Times New Roman"/>
          <w:b/>
          <w:sz w:val="24"/>
          <w:szCs w:val="24"/>
        </w:rPr>
      </w:pPr>
      <w:r w:rsidRPr="001E15A7">
        <w:rPr>
          <w:rFonts w:ascii="Times New Roman" w:hAnsi="Times New Roman"/>
          <w:b/>
          <w:sz w:val="24"/>
          <w:szCs w:val="24"/>
        </w:rPr>
        <w:t xml:space="preserve">2 </w:t>
      </w:r>
      <w:r w:rsidR="001E15A7">
        <w:rPr>
          <w:rFonts w:ascii="Times New Roman" w:hAnsi="Times New Roman"/>
          <w:b/>
          <w:sz w:val="24"/>
          <w:szCs w:val="24"/>
        </w:rPr>
        <w:t>Literature Review</w:t>
      </w:r>
    </w:p>
    <w:p w:rsidR="00995477" w:rsidRDefault="00E1467B" w:rsidP="006C22EE">
      <w:pPr>
        <w:spacing w:line="480" w:lineRule="auto"/>
        <w:rPr>
          <w:rFonts w:ascii="Times New Roman" w:hAnsi="Times New Roman"/>
          <w:sz w:val="24"/>
          <w:szCs w:val="24"/>
        </w:rPr>
      </w:pPr>
      <w:r>
        <w:rPr>
          <w:rFonts w:ascii="Times New Roman" w:hAnsi="Times New Roman"/>
          <w:sz w:val="24"/>
          <w:szCs w:val="24"/>
        </w:rPr>
        <w:t>2.1 Demand of affordable housing</w:t>
      </w:r>
    </w:p>
    <w:p w:rsidR="00995477" w:rsidRDefault="00C1161B" w:rsidP="00A53578">
      <w:pPr>
        <w:spacing w:line="480" w:lineRule="auto"/>
        <w:ind w:firstLine="720"/>
        <w:rPr>
          <w:rFonts w:ascii="Times New Roman" w:hAnsi="Times New Roman"/>
          <w:sz w:val="24"/>
          <w:szCs w:val="24"/>
        </w:rPr>
      </w:pPr>
      <w:r>
        <w:rPr>
          <w:rFonts w:ascii="Times New Roman" w:hAnsi="Times New Roman"/>
          <w:sz w:val="24"/>
          <w:szCs w:val="24"/>
        </w:rPr>
        <w:t xml:space="preserve">A report on housing impact analysis supported by </w:t>
      </w:r>
      <w:r w:rsidR="009B3365">
        <w:rPr>
          <w:rFonts w:ascii="Times New Roman" w:hAnsi="Times New Roman"/>
          <w:sz w:val="24"/>
          <w:szCs w:val="24"/>
        </w:rPr>
        <w:t xml:space="preserve">the U.S. Department of </w:t>
      </w:r>
      <w:r w:rsidR="00995477">
        <w:rPr>
          <w:rFonts w:ascii="Times New Roman" w:hAnsi="Times New Roman"/>
          <w:sz w:val="24"/>
          <w:szCs w:val="24"/>
        </w:rPr>
        <w:t xml:space="preserve">Housing and Urban Development (HUD) </w:t>
      </w:r>
      <w:r w:rsidR="009B3365">
        <w:rPr>
          <w:rFonts w:ascii="Times New Roman" w:hAnsi="Times New Roman"/>
          <w:sz w:val="24"/>
          <w:szCs w:val="24"/>
        </w:rPr>
        <w:t xml:space="preserve">was </w:t>
      </w:r>
      <w:r w:rsidR="00995477">
        <w:rPr>
          <w:rFonts w:ascii="Times New Roman" w:hAnsi="Times New Roman"/>
          <w:sz w:val="24"/>
          <w:szCs w:val="24"/>
        </w:rPr>
        <w:t>drafted</w:t>
      </w:r>
      <w:r>
        <w:rPr>
          <w:rFonts w:ascii="Times New Roman" w:hAnsi="Times New Roman"/>
          <w:sz w:val="24"/>
          <w:szCs w:val="24"/>
        </w:rPr>
        <w:t xml:space="preserve"> in 2006. Six fundamental determinants</w:t>
      </w:r>
      <w:r w:rsidR="00166B62">
        <w:rPr>
          <w:rFonts w:ascii="Times New Roman" w:hAnsi="Times New Roman"/>
          <w:sz w:val="24"/>
          <w:szCs w:val="24"/>
        </w:rPr>
        <w:t xml:space="preserve"> for housing demand</w:t>
      </w:r>
      <w:r>
        <w:rPr>
          <w:rFonts w:ascii="Times New Roman" w:hAnsi="Times New Roman"/>
          <w:sz w:val="24"/>
          <w:szCs w:val="24"/>
        </w:rPr>
        <w:t xml:space="preserve"> were defined</w:t>
      </w:r>
      <w:r w:rsidRPr="00C1161B">
        <w:rPr>
          <w:rFonts w:ascii="Times New Roman" w:hAnsi="Times New Roman"/>
          <w:sz w:val="24"/>
          <w:szCs w:val="24"/>
        </w:rPr>
        <w:t xml:space="preserve"> </w:t>
      </w:r>
      <w:r>
        <w:rPr>
          <w:rFonts w:ascii="Times New Roman" w:hAnsi="Times New Roman"/>
          <w:sz w:val="24"/>
          <w:szCs w:val="24"/>
        </w:rPr>
        <w:t>in the repo</w:t>
      </w:r>
      <w:r w:rsidR="00B048B5">
        <w:rPr>
          <w:rFonts w:ascii="Times New Roman" w:hAnsi="Times New Roman"/>
          <w:sz w:val="24"/>
          <w:szCs w:val="24"/>
        </w:rPr>
        <w:t>rt and could be categorized into t</w:t>
      </w:r>
      <w:r w:rsidR="00166B62">
        <w:rPr>
          <w:rFonts w:ascii="Times New Roman" w:hAnsi="Times New Roman"/>
          <w:sz w:val="24"/>
          <w:szCs w:val="24"/>
        </w:rPr>
        <w:t>wo</w:t>
      </w:r>
      <w:r w:rsidR="00B048B5">
        <w:rPr>
          <w:rFonts w:ascii="Times New Roman" w:hAnsi="Times New Roman"/>
          <w:sz w:val="24"/>
          <w:szCs w:val="24"/>
        </w:rPr>
        <w:t xml:space="preserve"> aspects, </w:t>
      </w:r>
      <w:r w:rsidR="009B3365">
        <w:rPr>
          <w:rFonts w:ascii="Times New Roman" w:hAnsi="Times New Roman"/>
          <w:sz w:val="24"/>
          <w:szCs w:val="24"/>
        </w:rPr>
        <w:t xml:space="preserve">household size and incomes, </w:t>
      </w:r>
      <w:r w:rsidR="00B048B5">
        <w:rPr>
          <w:rFonts w:ascii="Times New Roman" w:hAnsi="Times New Roman"/>
          <w:sz w:val="24"/>
          <w:szCs w:val="24"/>
        </w:rPr>
        <w:t xml:space="preserve">and </w:t>
      </w:r>
      <w:r w:rsidR="00317343">
        <w:rPr>
          <w:rFonts w:ascii="Times New Roman" w:hAnsi="Times New Roman"/>
          <w:sz w:val="24"/>
          <w:szCs w:val="24"/>
        </w:rPr>
        <w:t xml:space="preserve">the creation and location of </w:t>
      </w:r>
      <w:r w:rsidR="00B048B5">
        <w:rPr>
          <w:rFonts w:ascii="Times New Roman" w:hAnsi="Times New Roman"/>
          <w:sz w:val="24"/>
          <w:szCs w:val="24"/>
        </w:rPr>
        <w:t xml:space="preserve">jobs in </w:t>
      </w:r>
      <w:r w:rsidR="002527EF">
        <w:rPr>
          <w:rFonts w:ascii="Times New Roman" w:hAnsi="Times New Roman"/>
          <w:sz w:val="24"/>
          <w:szCs w:val="24"/>
        </w:rPr>
        <w:t>an</w:t>
      </w:r>
      <w:r w:rsidR="006F3B0E">
        <w:rPr>
          <w:rFonts w:ascii="Times New Roman" w:hAnsi="Times New Roman"/>
          <w:sz w:val="24"/>
          <w:szCs w:val="24"/>
        </w:rPr>
        <w:t xml:space="preserve"> </w:t>
      </w:r>
      <w:r w:rsidR="00B048B5">
        <w:rPr>
          <w:rFonts w:ascii="Times New Roman" w:hAnsi="Times New Roman"/>
          <w:sz w:val="24"/>
          <w:szCs w:val="24"/>
        </w:rPr>
        <w:t>area (</w:t>
      </w:r>
      <w:proofErr w:type="spellStart"/>
      <w:r w:rsidR="00EB3D67" w:rsidRPr="00EB3D67">
        <w:rPr>
          <w:rFonts w:ascii="Times New Roman" w:hAnsi="Times New Roman"/>
          <w:sz w:val="24"/>
          <w:szCs w:val="24"/>
        </w:rPr>
        <w:t>Dacquisto</w:t>
      </w:r>
      <w:proofErr w:type="spellEnd"/>
      <w:r w:rsidR="00EB3D67">
        <w:rPr>
          <w:rFonts w:ascii="Times New Roman" w:hAnsi="Times New Roman"/>
          <w:sz w:val="24"/>
          <w:szCs w:val="24"/>
        </w:rPr>
        <w:t>, 2006</w:t>
      </w:r>
      <w:r w:rsidR="00B048B5">
        <w:rPr>
          <w:rFonts w:ascii="Times New Roman" w:hAnsi="Times New Roman"/>
          <w:sz w:val="24"/>
          <w:szCs w:val="24"/>
        </w:rPr>
        <w:t>, p16</w:t>
      </w:r>
      <w:r w:rsidR="00EB3D67">
        <w:rPr>
          <w:rFonts w:ascii="Times New Roman" w:hAnsi="Times New Roman"/>
          <w:sz w:val="24"/>
          <w:szCs w:val="24"/>
        </w:rPr>
        <w:t>)</w:t>
      </w:r>
      <w:r w:rsidR="00B048B5">
        <w:rPr>
          <w:rFonts w:ascii="Times New Roman" w:hAnsi="Times New Roman"/>
          <w:sz w:val="24"/>
          <w:szCs w:val="24"/>
        </w:rPr>
        <w:t>.</w:t>
      </w:r>
      <w:r w:rsidR="00D246BB">
        <w:rPr>
          <w:rFonts w:ascii="Times New Roman" w:hAnsi="Times New Roman"/>
          <w:sz w:val="24"/>
          <w:szCs w:val="24"/>
        </w:rPr>
        <w:t xml:space="preserve"> To determine if </w:t>
      </w:r>
      <w:r w:rsidR="00D61AC0">
        <w:rPr>
          <w:rFonts w:ascii="Times New Roman" w:hAnsi="Times New Roman"/>
          <w:sz w:val="24"/>
          <w:szCs w:val="24"/>
        </w:rPr>
        <w:t>housing was affordable, HUD use</w:t>
      </w:r>
      <w:r w:rsidR="000003FC">
        <w:rPr>
          <w:rFonts w:ascii="Times New Roman" w:hAnsi="Times New Roman"/>
          <w:sz w:val="24"/>
          <w:szCs w:val="24"/>
        </w:rPr>
        <w:t>d</w:t>
      </w:r>
      <w:r w:rsidR="00D61AC0">
        <w:rPr>
          <w:rFonts w:ascii="Times New Roman" w:hAnsi="Times New Roman"/>
          <w:sz w:val="24"/>
          <w:szCs w:val="24"/>
        </w:rPr>
        <w:t xml:space="preserve"> Area Median Income</w:t>
      </w:r>
      <w:r w:rsidR="00B95D6B">
        <w:rPr>
          <w:rFonts w:ascii="Times New Roman" w:hAnsi="Times New Roman"/>
          <w:sz w:val="24"/>
          <w:szCs w:val="24"/>
        </w:rPr>
        <w:t>s</w:t>
      </w:r>
      <w:r w:rsidR="00D61AC0">
        <w:rPr>
          <w:rFonts w:ascii="Times New Roman" w:hAnsi="Times New Roman"/>
          <w:sz w:val="24"/>
          <w:szCs w:val="24"/>
        </w:rPr>
        <w:t xml:space="preserve"> (AMI</w:t>
      </w:r>
      <w:r w:rsidR="00B95D6B">
        <w:rPr>
          <w:rFonts w:ascii="Times New Roman" w:hAnsi="Times New Roman"/>
          <w:sz w:val="24"/>
          <w:szCs w:val="24"/>
        </w:rPr>
        <w:t>s</w:t>
      </w:r>
      <w:r w:rsidR="00D61AC0">
        <w:rPr>
          <w:rFonts w:ascii="Times New Roman" w:hAnsi="Times New Roman"/>
          <w:sz w:val="24"/>
          <w:szCs w:val="24"/>
        </w:rPr>
        <w:t xml:space="preserve">) which are calculated and published </w:t>
      </w:r>
      <w:r w:rsidR="001B3083">
        <w:rPr>
          <w:rFonts w:ascii="Times New Roman" w:hAnsi="Times New Roman"/>
          <w:sz w:val="24"/>
          <w:szCs w:val="24"/>
        </w:rPr>
        <w:t xml:space="preserve">annually.  </w:t>
      </w:r>
      <w:r w:rsidR="00F37E5C">
        <w:rPr>
          <w:rFonts w:ascii="Times New Roman" w:hAnsi="Times New Roman"/>
          <w:sz w:val="24"/>
          <w:szCs w:val="24"/>
        </w:rPr>
        <w:t>When developers provide affordable housing, they would be likely to take more notice of the building cost</w:t>
      </w:r>
      <w:r w:rsidR="00CC5D06">
        <w:rPr>
          <w:rFonts w:ascii="Times New Roman" w:hAnsi="Times New Roman"/>
          <w:sz w:val="24"/>
          <w:szCs w:val="24"/>
        </w:rPr>
        <w:t xml:space="preserve"> and not the </w:t>
      </w:r>
      <w:r w:rsidR="00EA233D">
        <w:rPr>
          <w:rFonts w:ascii="Times New Roman" w:hAnsi="Times New Roman"/>
          <w:sz w:val="24"/>
          <w:szCs w:val="24"/>
        </w:rPr>
        <w:t xml:space="preserve">percentages of </w:t>
      </w:r>
      <w:r w:rsidR="00CC5D06">
        <w:rPr>
          <w:rFonts w:ascii="Times New Roman" w:hAnsi="Times New Roman"/>
          <w:sz w:val="24"/>
          <w:szCs w:val="24"/>
        </w:rPr>
        <w:t>AMI</w:t>
      </w:r>
      <w:r w:rsidR="00EA233D">
        <w:rPr>
          <w:rFonts w:ascii="Times New Roman" w:hAnsi="Times New Roman"/>
          <w:sz w:val="24"/>
          <w:szCs w:val="24"/>
        </w:rPr>
        <w:t xml:space="preserve"> for tenants</w:t>
      </w:r>
      <w:r w:rsidR="00F37E5C">
        <w:rPr>
          <w:rFonts w:ascii="Times New Roman" w:hAnsi="Times New Roman"/>
          <w:sz w:val="24"/>
          <w:szCs w:val="24"/>
        </w:rPr>
        <w:t xml:space="preserve">. </w:t>
      </w:r>
      <w:r w:rsidR="0022427B">
        <w:rPr>
          <w:rFonts w:ascii="Times New Roman" w:hAnsi="Times New Roman"/>
          <w:sz w:val="24"/>
          <w:szCs w:val="24"/>
        </w:rPr>
        <w:t xml:space="preserve"> For home-owners, there are other factors besides direct housing cost that may have an impact on affordability, </w:t>
      </w:r>
      <w:r w:rsidR="006718FC">
        <w:rPr>
          <w:rFonts w:ascii="Times New Roman" w:hAnsi="Times New Roman"/>
          <w:sz w:val="24"/>
          <w:szCs w:val="24"/>
        </w:rPr>
        <w:t>for example,</w:t>
      </w:r>
      <w:r w:rsidR="0022427B">
        <w:rPr>
          <w:rFonts w:ascii="Times New Roman" w:hAnsi="Times New Roman"/>
          <w:sz w:val="24"/>
          <w:szCs w:val="24"/>
        </w:rPr>
        <w:t xml:space="preserve"> indirect costs like commuting distance </w:t>
      </w:r>
      <w:r w:rsidR="00CC5D06">
        <w:rPr>
          <w:rFonts w:ascii="Times New Roman" w:hAnsi="Times New Roman"/>
          <w:sz w:val="24"/>
          <w:szCs w:val="24"/>
        </w:rPr>
        <w:t xml:space="preserve"> </w:t>
      </w:r>
      <w:r w:rsidR="003A129E">
        <w:rPr>
          <w:rFonts w:ascii="Times New Roman" w:hAnsi="Times New Roman"/>
          <w:sz w:val="24"/>
          <w:szCs w:val="24"/>
        </w:rPr>
        <w:fldChar w:fldCharType="begin"/>
      </w:r>
      <w:r w:rsidR="00B56290">
        <w:rPr>
          <w:rFonts w:ascii="Times New Roman" w:hAnsi="Times New Roman"/>
          <w:sz w:val="24"/>
          <w:szCs w:val="24"/>
        </w:rPr>
        <w:instrText xml:space="preserve"> ADDIN EN.CITE &lt;EndNote&gt;&lt;Cite&gt;&lt;Author&gt;Bogdon&lt;/Author&gt;&lt;Year&gt;1997&lt;/Year&gt;&lt;RecNum&gt;298&lt;/RecNum&gt;&lt;record&gt;&lt;rec-number&gt;298&lt;/rec-number&gt;&lt;foreign-keys&gt;&lt;key app="EN" db-id="dfefvv2eyzaxrmevpxnxwa5gtvze9wfxfsa2"&gt;298&lt;/key&gt;&lt;/foreign-keys&gt;&lt;ref-type name="Journal Article"&gt;17&lt;/ref-type&gt;&lt;contributors&gt;&lt;authors&gt;&lt;author&gt;Bogdon, A. S.&lt;/author&gt;&lt;author&gt;Can, A.&lt;/author&gt;&lt;/authors&gt;&lt;/contributors&gt;&lt;auth-address&gt;Bogdon, AS&amp;#xD;Fannie Mae Fdn,Washington,Dc 20016, USA&amp;#xD;Fannie Mae Fdn,Washington,Dc 20016, USA&lt;/auth-address&gt;&lt;titles&gt;&lt;title&gt;Indicators of local housing affordability: Comparative and spatial approaches&lt;/title&gt;&lt;secondary-title&gt;Real Estate Economics&lt;/secondary-title&gt;&lt;alt-title&gt;Real Estate Econ&lt;/alt-title&gt;&lt;/titles&gt;&lt;periodical&gt;&lt;full-title&gt;Real Estate Economics&lt;/full-title&gt;&lt;abbr-1&gt;Real Estate Econ&lt;/abbr-1&gt;&lt;/periodical&gt;&lt;alt-periodical&gt;&lt;full-title&gt;Real Estate Economics&lt;/full-title&gt;&lt;abbr-1&gt;Real Estate Econ&lt;/abbr-1&gt;&lt;/alt-periodical&gt;&lt;pages&gt;43-80&lt;/pages&gt;&lt;volume&gt;25&lt;/volume&gt;&lt;number&gt;1&lt;/number&gt;&lt;dates&gt;&lt;year&gt;1997&lt;/year&gt;&lt;pub-dates&gt;&lt;date&gt;Spr&lt;/date&gt;&lt;/pub-dates&gt;&lt;/dates&gt;&lt;isbn&gt;1080-8620&lt;/isbn&gt;&lt;accession-num&gt;ISI:A1997WN25200003&lt;/accession-num&gt;&lt;urls&gt;&lt;related-urls&gt;&lt;url&gt;&amp;lt;Go to ISI&amp;gt;://A1997WN25200003&lt;/url&gt;&lt;/related-urls&gt;&lt;/urls&gt;&lt;language&gt;English&lt;/language&gt;&lt;/record&gt;&lt;/Cite&gt;&lt;/EndNote&gt;</w:instrText>
      </w:r>
      <w:r w:rsidR="003A129E">
        <w:rPr>
          <w:rFonts w:ascii="Times New Roman" w:hAnsi="Times New Roman"/>
          <w:sz w:val="24"/>
          <w:szCs w:val="24"/>
        </w:rPr>
        <w:fldChar w:fldCharType="separate"/>
      </w:r>
      <w:r w:rsidR="006D3EFD">
        <w:rPr>
          <w:rFonts w:ascii="Times New Roman" w:hAnsi="Times New Roman"/>
          <w:noProof/>
          <w:sz w:val="24"/>
          <w:szCs w:val="24"/>
        </w:rPr>
        <w:t>(Bogdon &amp; Can, 1997)</w:t>
      </w:r>
      <w:r w:rsidR="003A129E">
        <w:rPr>
          <w:rFonts w:ascii="Times New Roman" w:hAnsi="Times New Roman"/>
          <w:sz w:val="24"/>
          <w:szCs w:val="24"/>
        </w:rPr>
        <w:fldChar w:fldCharType="end"/>
      </w:r>
      <w:r w:rsidR="006D3EFD">
        <w:rPr>
          <w:rFonts w:ascii="Times New Roman" w:hAnsi="Times New Roman"/>
          <w:sz w:val="24"/>
          <w:szCs w:val="24"/>
        </w:rPr>
        <w:t>.</w:t>
      </w:r>
      <w:r w:rsidR="0063615E">
        <w:rPr>
          <w:rFonts w:ascii="Times New Roman" w:hAnsi="Times New Roman"/>
          <w:sz w:val="24"/>
          <w:szCs w:val="24"/>
        </w:rPr>
        <w:t xml:space="preserve"> </w:t>
      </w:r>
      <w:proofErr w:type="spellStart"/>
      <w:r w:rsidR="0063615E">
        <w:rPr>
          <w:rFonts w:ascii="Times New Roman" w:hAnsi="Times New Roman"/>
          <w:sz w:val="24"/>
          <w:szCs w:val="24"/>
        </w:rPr>
        <w:t>Haffner</w:t>
      </w:r>
      <w:proofErr w:type="spellEnd"/>
      <w:r w:rsidR="0063615E">
        <w:rPr>
          <w:rFonts w:ascii="Times New Roman" w:hAnsi="Times New Roman"/>
          <w:sz w:val="24"/>
          <w:szCs w:val="24"/>
        </w:rPr>
        <w:t xml:space="preserve"> </w:t>
      </w:r>
      <w:r w:rsidR="00CF72D7">
        <w:rPr>
          <w:rFonts w:ascii="Times New Roman" w:hAnsi="Times New Roman"/>
          <w:sz w:val="24"/>
          <w:szCs w:val="24"/>
        </w:rPr>
        <w:t xml:space="preserve">and </w:t>
      </w:r>
      <w:proofErr w:type="spellStart"/>
      <w:r w:rsidR="00CF72D7">
        <w:rPr>
          <w:rFonts w:ascii="Times New Roman" w:hAnsi="Times New Roman"/>
          <w:sz w:val="24"/>
          <w:szCs w:val="24"/>
        </w:rPr>
        <w:t>Heylen</w:t>
      </w:r>
      <w:proofErr w:type="spellEnd"/>
      <w:r w:rsidR="00CF72D7">
        <w:rPr>
          <w:rFonts w:ascii="Times New Roman" w:hAnsi="Times New Roman"/>
          <w:sz w:val="24"/>
          <w:szCs w:val="24"/>
        </w:rPr>
        <w:t xml:space="preserve"> (2011) </w:t>
      </w:r>
      <w:r w:rsidR="0085387B">
        <w:rPr>
          <w:rFonts w:ascii="Times New Roman" w:hAnsi="Times New Roman"/>
          <w:sz w:val="24"/>
          <w:szCs w:val="24"/>
        </w:rPr>
        <w:t xml:space="preserve">used an </w:t>
      </w:r>
      <w:r w:rsidR="0063615E">
        <w:rPr>
          <w:rFonts w:ascii="Times New Roman" w:hAnsi="Times New Roman"/>
          <w:sz w:val="24"/>
          <w:szCs w:val="24"/>
        </w:rPr>
        <w:t xml:space="preserve">“opportunity cost” to conceptually integrate the concerns of </w:t>
      </w:r>
      <w:r w:rsidR="0085387B">
        <w:rPr>
          <w:rFonts w:ascii="Times New Roman" w:hAnsi="Times New Roman"/>
          <w:sz w:val="24"/>
          <w:szCs w:val="24"/>
        </w:rPr>
        <w:t xml:space="preserve">demand-side </w:t>
      </w:r>
      <w:r w:rsidR="0063615E">
        <w:rPr>
          <w:rFonts w:ascii="Times New Roman" w:hAnsi="Times New Roman"/>
          <w:sz w:val="24"/>
          <w:szCs w:val="24"/>
        </w:rPr>
        <w:t xml:space="preserve">affordability </w:t>
      </w:r>
      <w:r w:rsidR="00C07F7D">
        <w:rPr>
          <w:rFonts w:ascii="Times New Roman" w:hAnsi="Times New Roman"/>
          <w:sz w:val="24"/>
          <w:szCs w:val="24"/>
        </w:rPr>
        <w:t>from the financial perspective of home-owners and renters</w:t>
      </w:r>
      <w:r w:rsidR="00883629">
        <w:rPr>
          <w:rFonts w:ascii="Times New Roman" w:hAnsi="Times New Roman"/>
          <w:sz w:val="24"/>
          <w:szCs w:val="24"/>
        </w:rPr>
        <w:t>.</w:t>
      </w:r>
    </w:p>
    <w:p w:rsidR="00D86E7C" w:rsidRDefault="00A16A8D" w:rsidP="006C22EE">
      <w:pPr>
        <w:spacing w:line="480" w:lineRule="auto"/>
        <w:rPr>
          <w:rFonts w:ascii="Times New Roman" w:hAnsi="Times New Roman"/>
          <w:sz w:val="24"/>
          <w:szCs w:val="24"/>
        </w:rPr>
      </w:pPr>
      <w:r>
        <w:rPr>
          <w:rFonts w:ascii="Times New Roman" w:hAnsi="Times New Roman"/>
          <w:sz w:val="24"/>
          <w:szCs w:val="24"/>
        </w:rPr>
        <w:t xml:space="preserve">          </w:t>
      </w:r>
      <w:r w:rsidR="00C54AB7">
        <w:rPr>
          <w:rFonts w:ascii="Times New Roman" w:hAnsi="Times New Roman"/>
          <w:sz w:val="24"/>
          <w:szCs w:val="24"/>
        </w:rPr>
        <w:t xml:space="preserve">Recently, Vincent Gray, the mayor of Washington D.C. announced </w:t>
      </w:r>
      <w:r w:rsidR="0085387B">
        <w:rPr>
          <w:rFonts w:ascii="Times New Roman" w:hAnsi="Times New Roman"/>
          <w:sz w:val="24"/>
          <w:szCs w:val="24"/>
        </w:rPr>
        <w:t xml:space="preserve">in </w:t>
      </w:r>
      <w:r w:rsidR="00C54AB7">
        <w:rPr>
          <w:rFonts w:ascii="Times New Roman" w:hAnsi="Times New Roman"/>
          <w:sz w:val="24"/>
          <w:szCs w:val="24"/>
        </w:rPr>
        <w:t xml:space="preserve">the </w:t>
      </w:r>
      <w:r w:rsidR="0085387B">
        <w:rPr>
          <w:rFonts w:ascii="Times New Roman" w:hAnsi="Times New Roman"/>
          <w:sz w:val="24"/>
          <w:szCs w:val="24"/>
        </w:rPr>
        <w:t xml:space="preserve">city’s </w:t>
      </w:r>
      <w:r w:rsidR="00C54AB7">
        <w:rPr>
          <w:rFonts w:ascii="Times New Roman" w:hAnsi="Times New Roman"/>
          <w:sz w:val="24"/>
          <w:szCs w:val="24"/>
        </w:rPr>
        <w:t>new Comprehens</w:t>
      </w:r>
      <w:r w:rsidR="000F4F48">
        <w:rPr>
          <w:rFonts w:ascii="Times New Roman" w:hAnsi="Times New Roman"/>
          <w:sz w:val="24"/>
          <w:szCs w:val="24"/>
        </w:rPr>
        <w:t xml:space="preserve">ive Housing Strategy Task Force that </w:t>
      </w:r>
      <w:r w:rsidR="00305620">
        <w:rPr>
          <w:rFonts w:ascii="Times New Roman" w:hAnsi="Times New Roman"/>
          <w:sz w:val="24"/>
          <w:szCs w:val="24"/>
        </w:rPr>
        <w:t xml:space="preserve">would change </w:t>
      </w:r>
      <w:r w:rsidR="0085387B">
        <w:rPr>
          <w:rFonts w:ascii="Times New Roman" w:hAnsi="Times New Roman"/>
          <w:sz w:val="24"/>
          <w:szCs w:val="24"/>
        </w:rPr>
        <w:t xml:space="preserve">the </w:t>
      </w:r>
      <w:r w:rsidR="00305620">
        <w:rPr>
          <w:rFonts w:ascii="Times New Roman" w:hAnsi="Times New Roman"/>
          <w:sz w:val="24"/>
          <w:szCs w:val="24"/>
        </w:rPr>
        <w:t xml:space="preserve">city’s </w:t>
      </w:r>
      <w:r w:rsidR="0085387B">
        <w:rPr>
          <w:rFonts w:ascii="Times New Roman" w:hAnsi="Times New Roman"/>
          <w:sz w:val="24"/>
          <w:szCs w:val="24"/>
        </w:rPr>
        <w:t xml:space="preserve">conception </w:t>
      </w:r>
      <w:r w:rsidR="00C54AB7">
        <w:rPr>
          <w:rFonts w:ascii="Times New Roman" w:hAnsi="Times New Roman"/>
          <w:sz w:val="24"/>
          <w:szCs w:val="24"/>
        </w:rPr>
        <w:t xml:space="preserve">of </w:t>
      </w:r>
      <w:r w:rsidR="0085387B">
        <w:rPr>
          <w:rFonts w:ascii="Times New Roman" w:hAnsi="Times New Roman"/>
          <w:sz w:val="24"/>
          <w:szCs w:val="24"/>
        </w:rPr>
        <w:t xml:space="preserve">its </w:t>
      </w:r>
      <w:r w:rsidR="00C54AB7">
        <w:rPr>
          <w:rFonts w:ascii="Times New Roman" w:hAnsi="Times New Roman"/>
          <w:sz w:val="24"/>
          <w:szCs w:val="24"/>
        </w:rPr>
        <w:t>affordable housing strategy</w:t>
      </w:r>
      <w:r w:rsidR="000F4F48">
        <w:rPr>
          <w:rFonts w:ascii="Times New Roman" w:hAnsi="Times New Roman"/>
          <w:sz w:val="24"/>
          <w:szCs w:val="24"/>
        </w:rPr>
        <w:t xml:space="preserve">, </w:t>
      </w:r>
      <w:r w:rsidR="0085387B">
        <w:rPr>
          <w:rFonts w:ascii="Times New Roman" w:hAnsi="Times New Roman"/>
          <w:sz w:val="24"/>
          <w:szCs w:val="24"/>
        </w:rPr>
        <w:t xml:space="preserve">signaling </w:t>
      </w:r>
      <w:r w:rsidR="00D40E33">
        <w:rPr>
          <w:rFonts w:ascii="Times New Roman" w:hAnsi="Times New Roman"/>
          <w:sz w:val="24"/>
          <w:szCs w:val="24"/>
        </w:rPr>
        <w:t xml:space="preserve">a shift </w:t>
      </w:r>
      <w:r w:rsidR="00D86111">
        <w:rPr>
          <w:rFonts w:ascii="Times New Roman" w:hAnsi="Times New Roman"/>
          <w:sz w:val="24"/>
          <w:szCs w:val="24"/>
        </w:rPr>
        <w:t xml:space="preserve">that emphasizes more the demand for affordable housing than its supply </w:t>
      </w:r>
      <w:r w:rsidR="00F87BCA">
        <w:rPr>
          <w:rFonts w:ascii="Times New Roman" w:hAnsi="Times New Roman"/>
          <w:sz w:val="24"/>
          <w:szCs w:val="24"/>
        </w:rPr>
        <w:t>(</w:t>
      </w:r>
      <w:proofErr w:type="spellStart"/>
      <w:r w:rsidR="00D40E33">
        <w:rPr>
          <w:rFonts w:ascii="Times New Roman" w:hAnsi="Times New Roman"/>
          <w:sz w:val="24"/>
          <w:szCs w:val="24"/>
        </w:rPr>
        <w:t>DePillis</w:t>
      </w:r>
      <w:proofErr w:type="spellEnd"/>
      <w:r w:rsidR="00D40E33">
        <w:rPr>
          <w:rFonts w:ascii="Times New Roman" w:hAnsi="Times New Roman"/>
          <w:sz w:val="24"/>
          <w:szCs w:val="24"/>
        </w:rPr>
        <w:t>, 2012)</w:t>
      </w:r>
      <w:r w:rsidR="006768E0">
        <w:rPr>
          <w:rFonts w:ascii="Times New Roman" w:hAnsi="Times New Roman"/>
          <w:sz w:val="24"/>
          <w:szCs w:val="24"/>
        </w:rPr>
        <w:t>.</w:t>
      </w:r>
    </w:p>
    <w:p w:rsidR="00C96D19" w:rsidRDefault="00C96D19" w:rsidP="006C22EE">
      <w:pPr>
        <w:spacing w:line="480" w:lineRule="auto"/>
        <w:rPr>
          <w:rFonts w:ascii="Times New Roman" w:hAnsi="Times New Roman"/>
          <w:sz w:val="24"/>
          <w:szCs w:val="24"/>
        </w:rPr>
      </w:pPr>
    </w:p>
    <w:p w:rsidR="00ED4D28" w:rsidRDefault="002F14B7" w:rsidP="006C22EE">
      <w:pPr>
        <w:spacing w:line="480" w:lineRule="auto"/>
        <w:rPr>
          <w:rFonts w:ascii="Times New Roman" w:hAnsi="Times New Roman"/>
          <w:sz w:val="24"/>
          <w:szCs w:val="24"/>
        </w:rPr>
      </w:pPr>
      <w:r>
        <w:rPr>
          <w:rFonts w:ascii="Times New Roman" w:hAnsi="Times New Roman"/>
          <w:sz w:val="24"/>
          <w:szCs w:val="24"/>
        </w:rPr>
        <w:lastRenderedPageBreak/>
        <w:t>2.2 S</w:t>
      </w:r>
      <w:r w:rsidR="00E1467B">
        <w:rPr>
          <w:rFonts w:ascii="Times New Roman" w:hAnsi="Times New Roman"/>
          <w:sz w:val="24"/>
          <w:szCs w:val="24"/>
        </w:rPr>
        <w:t>upply of affordable housing</w:t>
      </w:r>
      <w:r w:rsidR="001C3170">
        <w:rPr>
          <w:rFonts w:ascii="Times New Roman" w:hAnsi="Times New Roman"/>
          <w:sz w:val="24"/>
          <w:szCs w:val="24"/>
        </w:rPr>
        <w:t xml:space="preserve"> </w:t>
      </w:r>
    </w:p>
    <w:p w:rsidR="0082359B" w:rsidRDefault="00B112CD" w:rsidP="00A53578">
      <w:pPr>
        <w:spacing w:line="480" w:lineRule="auto"/>
        <w:ind w:firstLine="630"/>
        <w:rPr>
          <w:rFonts w:ascii="Times New Roman" w:hAnsi="Times New Roman"/>
          <w:sz w:val="24"/>
          <w:szCs w:val="24"/>
        </w:rPr>
      </w:pPr>
      <w:r>
        <w:rPr>
          <w:rFonts w:ascii="Times New Roman" w:hAnsi="Times New Roman"/>
          <w:sz w:val="24"/>
          <w:szCs w:val="24"/>
        </w:rPr>
        <w:t>Generally, the</w:t>
      </w:r>
      <w:r w:rsidR="0061352E">
        <w:rPr>
          <w:rFonts w:ascii="Times New Roman" w:hAnsi="Times New Roman"/>
          <w:sz w:val="24"/>
          <w:szCs w:val="24"/>
        </w:rPr>
        <w:t xml:space="preserve"> development of</w:t>
      </w:r>
      <w:r>
        <w:rPr>
          <w:rFonts w:ascii="Times New Roman" w:hAnsi="Times New Roman"/>
          <w:sz w:val="24"/>
          <w:szCs w:val="24"/>
        </w:rPr>
        <w:t xml:space="preserve"> affordable housing</w:t>
      </w:r>
      <w:r w:rsidR="0061352E">
        <w:rPr>
          <w:rFonts w:ascii="Times New Roman" w:hAnsi="Times New Roman"/>
          <w:sz w:val="24"/>
          <w:szCs w:val="24"/>
        </w:rPr>
        <w:t xml:space="preserve"> for lower income group</w:t>
      </w:r>
      <w:r w:rsidR="00D86111">
        <w:rPr>
          <w:rFonts w:ascii="Times New Roman" w:hAnsi="Times New Roman"/>
          <w:sz w:val="24"/>
          <w:szCs w:val="24"/>
        </w:rPr>
        <w:t>s</w:t>
      </w:r>
      <w:r w:rsidR="0061352E">
        <w:rPr>
          <w:rFonts w:ascii="Times New Roman" w:hAnsi="Times New Roman"/>
          <w:sz w:val="24"/>
          <w:szCs w:val="24"/>
        </w:rPr>
        <w:t xml:space="preserve"> </w:t>
      </w:r>
      <w:r w:rsidR="00D86111">
        <w:rPr>
          <w:rFonts w:ascii="Times New Roman" w:hAnsi="Times New Roman"/>
          <w:sz w:val="24"/>
          <w:szCs w:val="24"/>
        </w:rPr>
        <w:t xml:space="preserve">was </w:t>
      </w:r>
      <w:r w:rsidR="0061352E">
        <w:rPr>
          <w:rFonts w:ascii="Times New Roman" w:hAnsi="Times New Roman"/>
          <w:sz w:val="24"/>
          <w:szCs w:val="24"/>
        </w:rPr>
        <w:t xml:space="preserve">carried </w:t>
      </w:r>
      <w:r w:rsidR="006F2600">
        <w:rPr>
          <w:rFonts w:ascii="Times New Roman" w:hAnsi="Times New Roman"/>
          <w:sz w:val="24"/>
          <w:szCs w:val="24"/>
        </w:rPr>
        <w:t xml:space="preserve">out </w:t>
      </w:r>
      <w:r w:rsidR="0061352E">
        <w:rPr>
          <w:rFonts w:ascii="Times New Roman" w:hAnsi="Times New Roman"/>
          <w:sz w:val="24"/>
          <w:szCs w:val="24"/>
        </w:rPr>
        <w:t xml:space="preserve">according to </w:t>
      </w:r>
      <w:r w:rsidR="0095055A">
        <w:rPr>
          <w:rFonts w:ascii="Times New Roman" w:hAnsi="Times New Roman"/>
          <w:sz w:val="24"/>
          <w:szCs w:val="24"/>
        </w:rPr>
        <w:t xml:space="preserve">a </w:t>
      </w:r>
      <w:r w:rsidR="0061352E">
        <w:rPr>
          <w:rFonts w:ascii="Times New Roman" w:hAnsi="Times New Roman"/>
          <w:sz w:val="24"/>
          <w:szCs w:val="24"/>
        </w:rPr>
        <w:t>consideration of housing prices, renovation effort</w:t>
      </w:r>
      <w:r w:rsidR="00D86111">
        <w:rPr>
          <w:rFonts w:ascii="Times New Roman" w:hAnsi="Times New Roman"/>
          <w:sz w:val="24"/>
          <w:szCs w:val="24"/>
        </w:rPr>
        <w:t>s</w:t>
      </w:r>
      <w:r w:rsidR="0061352E">
        <w:rPr>
          <w:rFonts w:ascii="Times New Roman" w:hAnsi="Times New Roman"/>
          <w:sz w:val="24"/>
          <w:szCs w:val="24"/>
        </w:rPr>
        <w:t xml:space="preserve"> and construction cost</w:t>
      </w:r>
      <w:r w:rsidR="00D86111">
        <w:rPr>
          <w:rFonts w:ascii="Times New Roman" w:hAnsi="Times New Roman"/>
          <w:sz w:val="24"/>
          <w:szCs w:val="24"/>
        </w:rPr>
        <w:t>s</w:t>
      </w:r>
      <w:r w:rsidR="0061352E">
        <w:rPr>
          <w:rFonts w:ascii="Times New Roman" w:hAnsi="Times New Roman"/>
          <w:sz w:val="24"/>
          <w:szCs w:val="24"/>
        </w:rPr>
        <w:t xml:space="preserve">. The American Housing Survey was the primary data source for reference. </w:t>
      </w:r>
      <w:r w:rsidR="001304CD">
        <w:rPr>
          <w:rFonts w:ascii="Times New Roman" w:hAnsi="Times New Roman"/>
          <w:sz w:val="24"/>
          <w:szCs w:val="24"/>
        </w:rPr>
        <w:t>Due</w:t>
      </w:r>
      <w:r w:rsidR="0061352E">
        <w:rPr>
          <w:rFonts w:ascii="Times New Roman" w:hAnsi="Times New Roman"/>
          <w:sz w:val="24"/>
          <w:szCs w:val="24"/>
        </w:rPr>
        <w:t xml:space="preserve"> to the </w:t>
      </w:r>
      <w:r w:rsidR="00D86111">
        <w:rPr>
          <w:rFonts w:ascii="Times New Roman" w:hAnsi="Times New Roman"/>
          <w:sz w:val="24"/>
          <w:szCs w:val="24"/>
        </w:rPr>
        <w:t>time-</w:t>
      </w:r>
      <w:r w:rsidR="0061352E">
        <w:rPr>
          <w:rFonts w:ascii="Times New Roman" w:hAnsi="Times New Roman"/>
          <w:sz w:val="24"/>
          <w:szCs w:val="24"/>
        </w:rPr>
        <w:t xml:space="preserve">lag of the survey and ongoing constructions, a certain number of </w:t>
      </w:r>
      <w:r w:rsidR="00D86111">
        <w:rPr>
          <w:rFonts w:ascii="Times New Roman" w:hAnsi="Times New Roman"/>
          <w:sz w:val="24"/>
          <w:szCs w:val="24"/>
        </w:rPr>
        <w:t xml:space="preserve">omissions in </w:t>
      </w:r>
      <w:r w:rsidR="0061352E">
        <w:rPr>
          <w:rFonts w:ascii="Times New Roman" w:hAnsi="Times New Roman"/>
          <w:sz w:val="24"/>
          <w:szCs w:val="24"/>
        </w:rPr>
        <w:t xml:space="preserve"> housing unit</w:t>
      </w:r>
      <w:r w:rsidR="00D86111">
        <w:rPr>
          <w:rFonts w:ascii="Times New Roman" w:hAnsi="Times New Roman"/>
          <w:sz w:val="24"/>
          <w:szCs w:val="24"/>
        </w:rPr>
        <w:t xml:space="preserve"> counts</w:t>
      </w:r>
      <w:r w:rsidR="00343957">
        <w:rPr>
          <w:rFonts w:ascii="Times New Roman" w:hAnsi="Times New Roman"/>
          <w:sz w:val="24"/>
          <w:szCs w:val="24"/>
        </w:rPr>
        <w:t xml:space="preserve"> </w:t>
      </w:r>
      <w:r w:rsidR="0061352E">
        <w:rPr>
          <w:rFonts w:ascii="Times New Roman" w:hAnsi="Times New Roman"/>
          <w:sz w:val="24"/>
          <w:szCs w:val="24"/>
        </w:rPr>
        <w:t xml:space="preserve">existed </w:t>
      </w:r>
      <w:r w:rsidR="003A129E">
        <w:rPr>
          <w:rFonts w:ascii="Times New Roman" w:hAnsi="Times New Roman"/>
          <w:sz w:val="24"/>
          <w:szCs w:val="24"/>
        </w:rPr>
        <w:fldChar w:fldCharType="begin"/>
      </w:r>
      <w:r w:rsidR="00B56290">
        <w:rPr>
          <w:rFonts w:ascii="Times New Roman" w:hAnsi="Times New Roman"/>
          <w:sz w:val="24"/>
          <w:szCs w:val="24"/>
        </w:rPr>
        <w:instrText xml:space="preserve"> ADDIN EN.CITE &lt;EndNote&gt;&lt;Cite&gt;&lt;Author&gt;Gyourko&lt;/Author&gt;&lt;Year&gt;2004&lt;/Year&gt;&lt;RecNum&gt;184&lt;/RecNum&gt;&lt;record&gt;&lt;rec-number&gt;184&lt;/rec-number&gt;&lt;foreign-keys&gt;&lt;key app="EN" db-id="dfefvv2eyzaxrmevpxnxwa5gtvze9wfxfsa2"&gt;184&lt;/key&gt;&lt;/foreign-keys&gt;&lt;ref-type name="Journal Article"&gt;17&lt;/ref-type&gt;&lt;contributors&gt;&lt;authors&gt;&lt;author&gt;Gyourko, J.&lt;/author&gt;&lt;author&gt;Saiz, A.&lt;/author&gt;&lt;/authors&gt;&lt;/contributors&gt;&lt;auth-address&gt;Saiz, A&amp;#xD;Univ Penn, Real Estate Dept, Wharton Sch, 310 Lauder Fischer Hall,256 S 37th St, Philadelphia, PA 19104 USA&amp;#xD;Univ Penn, Real Estate Dept, Wharton Sch, 310 Lauder Fischer Hall,256 S 37th St, Philadelphia, PA 19104 USA&amp;#xD;Univ Penn, Real Estate Dept, Wharton Sch, Philadelphia, PA 19104 USA&amp;#xD;Univ Penn, Wharton Sch, Real Estate Dept, Philadelphia, PA 19104 USA&amp;#xD;Univ Penn, Wharton Sch, Finance Dept, Philadelphia, PA 19104 USA&lt;/auth-address&gt;&lt;titles&gt;&lt;title&gt;Reinvestment in the housing stock: the role of construction costs and the supply side&lt;/title&gt;&lt;secondary-title&gt;Journal of Urban Economics&lt;/secondary-title&gt;&lt;alt-title&gt;J Urban Econ&lt;/alt-title&gt;&lt;/titles&gt;&lt;periodical&gt;&lt;full-title&gt;Journal of Urban Economics&lt;/full-title&gt;&lt;abbr-1&gt;J Urban Econ&lt;/abbr-1&gt;&lt;/periodical&gt;&lt;alt-periodical&gt;&lt;full-title&gt;Journal of Urban Economics&lt;/full-title&gt;&lt;abbr-1&gt;J Urban Econ&lt;/abbr-1&gt;&lt;/alt-periodical&gt;&lt;pages&gt;238-256&lt;/pages&gt;&lt;volume&gt;55&lt;/volume&gt;&lt;number&gt;2&lt;/number&gt;&lt;keywords&gt;&lt;keyword&gt;construction costs&lt;/keyword&gt;&lt;keyword&gt;renovation&lt;/keyword&gt;&lt;keyword&gt;housing reinvestment&lt;/keyword&gt;&lt;keyword&gt;maintenance&lt;/keyword&gt;&lt;keyword&gt;depreciation&lt;/keyword&gt;&lt;keyword&gt;quality&lt;/keyword&gt;&lt;/keywords&gt;&lt;dates&gt;&lt;year&gt;2004&lt;/year&gt;&lt;pub-dates&gt;&lt;date&gt;Mar&lt;/date&gt;&lt;/pub-dates&gt;&lt;/dates&gt;&lt;isbn&gt;0094-1190&lt;/isbn&gt;&lt;accession-num&gt;ISI:000220034800002&lt;/accession-num&gt;&lt;urls&gt;&lt;related-urls&gt;&lt;url&gt;&amp;lt;Go to ISI&amp;gt;://000220034800002&lt;/url&gt;&lt;/related-urls&gt;&lt;/urls&gt;&lt;electronic-resource-num&gt;DOI 10.1016/j.jue.2003.09.004&lt;/electronic-resource-num&gt;&lt;language&gt;English&lt;/language&gt;&lt;/record&gt;&lt;/Cite&gt;&lt;/EndNote&gt;</w:instrText>
      </w:r>
      <w:r w:rsidR="003A129E">
        <w:rPr>
          <w:rFonts w:ascii="Times New Roman" w:hAnsi="Times New Roman"/>
          <w:sz w:val="24"/>
          <w:szCs w:val="24"/>
        </w:rPr>
        <w:fldChar w:fldCharType="separate"/>
      </w:r>
      <w:r w:rsidR="0061352E">
        <w:rPr>
          <w:rFonts w:ascii="Times New Roman" w:hAnsi="Times New Roman"/>
          <w:noProof/>
          <w:sz w:val="24"/>
          <w:szCs w:val="24"/>
        </w:rPr>
        <w:t>(Gyourko &amp; Saiz, 2004)</w:t>
      </w:r>
      <w:r w:rsidR="003A129E">
        <w:rPr>
          <w:rFonts w:ascii="Times New Roman" w:hAnsi="Times New Roman"/>
          <w:sz w:val="24"/>
          <w:szCs w:val="24"/>
        </w:rPr>
        <w:fldChar w:fldCharType="end"/>
      </w:r>
      <w:r w:rsidR="0061352E">
        <w:rPr>
          <w:rFonts w:ascii="Times New Roman" w:hAnsi="Times New Roman"/>
          <w:sz w:val="24"/>
          <w:szCs w:val="24"/>
        </w:rPr>
        <w:t>.</w:t>
      </w:r>
      <w:r w:rsidR="009B2D63" w:rsidRPr="009B2D63">
        <w:rPr>
          <w:rFonts w:ascii="Times New Roman" w:hAnsi="Times New Roman"/>
          <w:sz w:val="24"/>
          <w:szCs w:val="24"/>
        </w:rPr>
        <w:t xml:space="preserve"> </w:t>
      </w:r>
      <w:r w:rsidR="009B2D63">
        <w:rPr>
          <w:rFonts w:ascii="Times New Roman" w:hAnsi="Times New Roman"/>
          <w:sz w:val="24"/>
          <w:szCs w:val="24"/>
        </w:rPr>
        <w:t xml:space="preserve">Desai </w:t>
      </w:r>
      <w:r w:rsidR="00F607CA">
        <w:rPr>
          <w:rFonts w:ascii="Times New Roman" w:hAnsi="Times New Roman"/>
          <w:sz w:val="24"/>
          <w:szCs w:val="24"/>
        </w:rPr>
        <w:t xml:space="preserve">(2008) </w:t>
      </w:r>
      <w:r w:rsidR="001304CD">
        <w:rPr>
          <w:rFonts w:ascii="Times New Roman" w:hAnsi="Times New Roman"/>
          <w:sz w:val="24"/>
          <w:szCs w:val="24"/>
        </w:rPr>
        <w:t xml:space="preserve">claimed </w:t>
      </w:r>
      <w:r w:rsidR="009B2D63">
        <w:rPr>
          <w:rFonts w:ascii="Times New Roman" w:hAnsi="Times New Roman"/>
          <w:sz w:val="24"/>
          <w:szCs w:val="24"/>
        </w:rPr>
        <w:t xml:space="preserve">that supply-side housing policy benefited low-income families in purchasing and renting. </w:t>
      </w:r>
    </w:p>
    <w:p w:rsidR="00343957" w:rsidRDefault="009B2D63" w:rsidP="00883629">
      <w:pPr>
        <w:spacing w:line="480" w:lineRule="auto"/>
        <w:ind w:firstLine="720"/>
        <w:rPr>
          <w:rFonts w:ascii="Times New Roman" w:hAnsi="Times New Roman"/>
          <w:sz w:val="24"/>
          <w:szCs w:val="24"/>
        </w:rPr>
      </w:pPr>
      <w:r>
        <w:rPr>
          <w:rFonts w:ascii="Times New Roman" w:hAnsi="Times New Roman"/>
          <w:sz w:val="24"/>
          <w:szCs w:val="24"/>
        </w:rPr>
        <w:t xml:space="preserve">In Florida, funding sources </w:t>
      </w:r>
      <w:r w:rsidR="00587928">
        <w:rPr>
          <w:rFonts w:ascii="Times New Roman" w:hAnsi="Times New Roman"/>
          <w:sz w:val="24"/>
          <w:szCs w:val="24"/>
        </w:rPr>
        <w:t>vary between the Department of</w:t>
      </w:r>
      <w:r>
        <w:rPr>
          <w:rFonts w:ascii="Times New Roman" w:hAnsi="Times New Roman"/>
          <w:sz w:val="24"/>
          <w:szCs w:val="24"/>
        </w:rPr>
        <w:t xml:space="preserve"> Housing and Urban Development (HUD), </w:t>
      </w:r>
      <w:r w:rsidR="00587928">
        <w:rPr>
          <w:rFonts w:ascii="Times New Roman" w:hAnsi="Times New Roman"/>
          <w:sz w:val="24"/>
          <w:szCs w:val="24"/>
        </w:rPr>
        <w:t xml:space="preserve">the Department of Agriculture </w:t>
      </w:r>
      <w:r>
        <w:rPr>
          <w:rFonts w:ascii="Times New Roman" w:hAnsi="Times New Roman"/>
          <w:sz w:val="24"/>
          <w:szCs w:val="24"/>
        </w:rPr>
        <w:t xml:space="preserve">Rural Development </w:t>
      </w:r>
      <w:r w:rsidR="00587928">
        <w:rPr>
          <w:rFonts w:ascii="Times New Roman" w:hAnsi="Times New Roman"/>
          <w:sz w:val="24"/>
          <w:szCs w:val="24"/>
        </w:rPr>
        <w:t xml:space="preserve">program </w:t>
      </w:r>
      <w:r>
        <w:rPr>
          <w:rFonts w:ascii="Times New Roman" w:hAnsi="Times New Roman"/>
          <w:sz w:val="24"/>
          <w:szCs w:val="24"/>
        </w:rPr>
        <w:t xml:space="preserve">(RD), and other local finance authorities, such as Florida Housing Finance Corporation (FHFC) and Local Housing Finance </w:t>
      </w:r>
      <w:proofErr w:type="spellStart"/>
      <w:r>
        <w:rPr>
          <w:rFonts w:ascii="Times New Roman" w:hAnsi="Times New Roman"/>
          <w:sz w:val="24"/>
          <w:szCs w:val="24"/>
        </w:rPr>
        <w:t>Authorit</w:t>
      </w:r>
      <w:r w:rsidR="00587928">
        <w:rPr>
          <w:rFonts w:ascii="Times New Roman" w:hAnsi="Times New Roman"/>
          <w:sz w:val="24"/>
          <w:szCs w:val="24"/>
        </w:rPr>
        <w:t>ies</w:t>
      </w:r>
      <w:proofErr w:type="spellEnd"/>
      <w:r>
        <w:rPr>
          <w:rFonts w:ascii="Times New Roman" w:hAnsi="Times New Roman"/>
          <w:sz w:val="24"/>
          <w:szCs w:val="24"/>
        </w:rPr>
        <w:t xml:space="preserve"> (LHFA</w:t>
      </w:r>
      <w:r w:rsidR="0095055A">
        <w:rPr>
          <w:rFonts w:ascii="Times New Roman" w:hAnsi="Times New Roman"/>
          <w:sz w:val="24"/>
          <w:szCs w:val="24"/>
        </w:rPr>
        <w:t>s</w:t>
      </w:r>
      <w:r>
        <w:rPr>
          <w:rFonts w:ascii="Times New Roman" w:hAnsi="Times New Roman"/>
          <w:sz w:val="24"/>
          <w:szCs w:val="24"/>
        </w:rPr>
        <w:t xml:space="preserve">). </w:t>
      </w:r>
      <w:r w:rsidR="00587928">
        <w:rPr>
          <w:rFonts w:ascii="Times New Roman" w:hAnsi="Times New Roman"/>
          <w:sz w:val="24"/>
          <w:szCs w:val="24"/>
        </w:rPr>
        <w:t xml:space="preserve">The </w:t>
      </w:r>
      <w:proofErr w:type="spellStart"/>
      <w:r w:rsidR="00624BE6">
        <w:rPr>
          <w:rFonts w:ascii="Times New Roman" w:hAnsi="Times New Roman"/>
          <w:sz w:val="24"/>
          <w:szCs w:val="24"/>
        </w:rPr>
        <w:t>Shimberg</w:t>
      </w:r>
      <w:proofErr w:type="spellEnd"/>
      <w:r w:rsidR="00624BE6">
        <w:rPr>
          <w:rFonts w:ascii="Times New Roman" w:hAnsi="Times New Roman"/>
          <w:sz w:val="24"/>
          <w:szCs w:val="24"/>
        </w:rPr>
        <w:t xml:space="preserve"> Center for Housing Studies </w:t>
      </w:r>
      <w:r w:rsidR="0095055A">
        <w:rPr>
          <w:rFonts w:ascii="Times New Roman" w:hAnsi="Times New Roman"/>
          <w:sz w:val="24"/>
          <w:szCs w:val="24"/>
        </w:rPr>
        <w:t>maintains</w:t>
      </w:r>
      <w:r w:rsidR="00624BE6">
        <w:rPr>
          <w:rFonts w:ascii="Times New Roman" w:hAnsi="Times New Roman"/>
          <w:sz w:val="24"/>
          <w:szCs w:val="24"/>
        </w:rPr>
        <w:t xml:space="preserve"> </w:t>
      </w:r>
      <w:r w:rsidR="00587928">
        <w:rPr>
          <w:rFonts w:ascii="Times New Roman" w:hAnsi="Times New Roman"/>
          <w:sz w:val="24"/>
          <w:szCs w:val="24"/>
        </w:rPr>
        <w:t xml:space="preserve">an </w:t>
      </w:r>
      <w:r w:rsidR="00624BE6">
        <w:rPr>
          <w:rFonts w:ascii="Times New Roman" w:hAnsi="Times New Roman"/>
          <w:sz w:val="24"/>
          <w:szCs w:val="24"/>
        </w:rPr>
        <w:t xml:space="preserve">Assisted Housing Inventory (AHI) </w:t>
      </w:r>
      <w:r w:rsidR="0095055A">
        <w:rPr>
          <w:rFonts w:ascii="Times New Roman" w:hAnsi="Times New Roman"/>
          <w:sz w:val="24"/>
          <w:szCs w:val="24"/>
        </w:rPr>
        <w:t>for the purpose of</w:t>
      </w:r>
      <w:r w:rsidR="00624BE6">
        <w:rPr>
          <w:rFonts w:ascii="Times New Roman" w:hAnsi="Times New Roman"/>
          <w:sz w:val="24"/>
          <w:szCs w:val="24"/>
        </w:rPr>
        <w:t xml:space="preserve"> provid</w:t>
      </w:r>
      <w:r w:rsidR="0095055A">
        <w:rPr>
          <w:rFonts w:ascii="Times New Roman" w:hAnsi="Times New Roman"/>
          <w:sz w:val="24"/>
          <w:szCs w:val="24"/>
        </w:rPr>
        <w:t>ing</w:t>
      </w:r>
      <w:r w:rsidR="00624BE6">
        <w:rPr>
          <w:rFonts w:ascii="Times New Roman" w:hAnsi="Times New Roman"/>
          <w:sz w:val="24"/>
          <w:szCs w:val="24"/>
        </w:rPr>
        <w:t xml:space="preserve"> relevant data </w:t>
      </w:r>
      <w:r w:rsidR="00587928">
        <w:rPr>
          <w:rFonts w:ascii="Times New Roman" w:hAnsi="Times New Roman"/>
          <w:sz w:val="24"/>
          <w:szCs w:val="24"/>
        </w:rPr>
        <w:t xml:space="preserve">on </w:t>
      </w:r>
      <w:r w:rsidR="00624BE6">
        <w:rPr>
          <w:rFonts w:ascii="Times New Roman" w:hAnsi="Times New Roman"/>
          <w:sz w:val="24"/>
          <w:szCs w:val="24"/>
        </w:rPr>
        <w:t xml:space="preserve">lower income tenants </w:t>
      </w:r>
      <w:r w:rsidR="00587928">
        <w:rPr>
          <w:rFonts w:ascii="Times New Roman" w:hAnsi="Times New Roman"/>
          <w:sz w:val="24"/>
          <w:szCs w:val="24"/>
        </w:rPr>
        <w:t xml:space="preserve">and </w:t>
      </w:r>
      <w:r w:rsidR="00624BE6">
        <w:rPr>
          <w:rFonts w:ascii="Times New Roman" w:hAnsi="Times New Roman"/>
          <w:sz w:val="24"/>
          <w:szCs w:val="24"/>
        </w:rPr>
        <w:t xml:space="preserve">housing owners. According to </w:t>
      </w:r>
      <w:proofErr w:type="spellStart"/>
      <w:r w:rsidR="0095371F">
        <w:rPr>
          <w:rFonts w:ascii="Times New Roman" w:hAnsi="Times New Roman"/>
          <w:sz w:val="24"/>
          <w:szCs w:val="24"/>
        </w:rPr>
        <w:t>Shimberg</w:t>
      </w:r>
      <w:proofErr w:type="spellEnd"/>
      <w:r w:rsidR="0095371F">
        <w:rPr>
          <w:rFonts w:ascii="Times New Roman" w:hAnsi="Times New Roman"/>
          <w:sz w:val="24"/>
          <w:szCs w:val="24"/>
        </w:rPr>
        <w:t xml:space="preserve"> Center research</w:t>
      </w:r>
      <w:r w:rsidR="00624BE6">
        <w:rPr>
          <w:rFonts w:ascii="Times New Roman" w:hAnsi="Times New Roman"/>
          <w:sz w:val="24"/>
          <w:szCs w:val="24"/>
        </w:rPr>
        <w:t xml:space="preserve">, </w:t>
      </w:r>
      <w:r w:rsidR="001C3170">
        <w:rPr>
          <w:rFonts w:ascii="Times New Roman" w:hAnsi="Times New Roman"/>
          <w:sz w:val="24"/>
          <w:szCs w:val="24"/>
        </w:rPr>
        <w:t>the majority of assisted housing units</w:t>
      </w:r>
      <w:r w:rsidR="006B3026">
        <w:rPr>
          <w:rFonts w:ascii="Times New Roman" w:hAnsi="Times New Roman"/>
          <w:sz w:val="24"/>
          <w:szCs w:val="24"/>
        </w:rPr>
        <w:t xml:space="preserve"> </w:t>
      </w:r>
      <w:r w:rsidR="0095371F">
        <w:rPr>
          <w:rFonts w:ascii="Times New Roman" w:hAnsi="Times New Roman"/>
          <w:sz w:val="24"/>
          <w:szCs w:val="24"/>
        </w:rPr>
        <w:t>(</w:t>
      </w:r>
      <w:r w:rsidR="00624BE6">
        <w:rPr>
          <w:rFonts w:ascii="Times New Roman" w:hAnsi="Times New Roman"/>
          <w:sz w:val="24"/>
          <w:szCs w:val="24"/>
        </w:rPr>
        <w:t>92</w:t>
      </w:r>
      <w:r w:rsidR="001C3170">
        <w:rPr>
          <w:rFonts w:ascii="Times New Roman" w:hAnsi="Times New Roman"/>
          <w:sz w:val="24"/>
          <w:szCs w:val="24"/>
        </w:rPr>
        <w:t>%</w:t>
      </w:r>
      <w:r w:rsidR="0095371F">
        <w:rPr>
          <w:rFonts w:ascii="Times New Roman" w:hAnsi="Times New Roman"/>
          <w:sz w:val="24"/>
          <w:szCs w:val="24"/>
        </w:rPr>
        <w:t>)</w:t>
      </w:r>
      <w:r w:rsidR="001C3170">
        <w:rPr>
          <w:rFonts w:ascii="Times New Roman" w:hAnsi="Times New Roman"/>
          <w:sz w:val="24"/>
          <w:szCs w:val="24"/>
        </w:rPr>
        <w:t xml:space="preserve"> serve tenants whose income </w:t>
      </w:r>
      <w:r w:rsidR="0095371F">
        <w:rPr>
          <w:rFonts w:ascii="Times New Roman" w:hAnsi="Times New Roman"/>
          <w:sz w:val="24"/>
          <w:szCs w:val="24"/>
        </w:rPr>
        <w:t xml:space="preserve">was </w:t>
      </w:r>
      <w:r w:rsidR="001C3170">
        <w:rPr>
          <w:rFonts w:ascii="Times New Roman" w:hAnsi="Times New Roman"/>
          <w:sz w:val="24"/>
          <w:szCs w:val="24"/>
        </w:rPr>
        <w:t xml:space="preserve">at or below 60% </w:t>
      </w:r>
      <w:r w:rsidR="0095371F">
        <w:rPr>
          <w:rFonts w:ascii="Times New Roman" w:hAnsi="Times New Roman"/>
          <w:sz w:val="24"/>
          <w:szCs w:val="24"/>
        </w:rPr>
        <w:t xml:space="preserve">of the </w:t>
      </w:r>
      <w:r w:rsidR="00624BE6">
        <w:rPr>
          <w:rFonts w:ascii="Times New Roman" w:hAnsi="Times New Roman"/>
          <w:sz w:val="24"/>
          <w:szCs w:val="24"/>
        </w:rPr>
        <w:t xml:space="preserve">Area Median Income (AMI). </w:t>
      </w:r>
      <w:r w:rsidR="002630B2">
        <w:rPr>
          <w:rFonts w:ascii="Times New Roman" w:hAnsi="Times New Roman"/>
          <w:sz w:val="24"/>
          <w:szCs w:val="24"/>
        </w:rPr>
        <w:t xml:space="preserve"> The target population in this study </w:t>
      </w:r>
      <w:r w:rsidR="0095055A">
        <w:rPr>
          <w:rFonts w:ascii="Times New Roman" w:hAnsi="Times New Roman"/>
          <w:sz w:val="24"/>
          <w:szCs w:val="24"/>
        </w:rPr>
        <w:t xml:space="preserve">can </w:t>
      </w:r>
      <w:r w:rsidR="002630B2">
        <w:rPr>
          <w:rFonts w:ascii="Times New Roman" w:hAnsi="Times New Roman"/>
          <w:sz w:val="24"/>
          <w:szCs w:val="24"/>
        </w:rPr>
        <w:t>be categorized as having very low income (equal or less than 30% AMI) to moderately low income (50% to 80% AMI) according to affordability ranges provided by HUD.  The target population was categorized into two groups, those with very low income (VLI)</w:t>
      </w:r>
      <w:r w:rsidR="00340502">
        <w:rPr>
          <w:rFonts w:ascii="Times New Roman" w:hAnsi="Times New Roman"/>
          <w:sz w:val="24"/>
          <w:szCs w:val="24"/>
        </w:rPr>
        <w:t xml:space="preserve"> </w:t>
      </w:r>
      <w:r w:rsidR="002630B2">
        <w:rPr>
          <w:rFonts w:ascii="Times New Roman" w:hAnsi="Times New Roman"/>
          <w:sz w:val="24"/>
          <w:szCs w:val="24"/>
        </w:rPr>
        <w:t>equal</w:t>
      </w:r>
      <w:r w:rsidR="00340502">
        <w:rPr>
          <w:rFonts w:ascii="Times New Roman" w:hAnsi="Times New Roman"/>
          <w:sz w:val="24"/>
          <w:szCs w:val="24"/>
        </w:rPr>
        <w:t xml:space="preserve"> to</w:t>
      </w:r>
      <w:r w:rsidR="002630B2">
        <w:rPr>
          <w:rFonts w:ascii="Times New Roman" w:hAnsi="Times New Roman"/>
          <w:sz w:val="24"/>
          <w:szCs w:val="24"/>
        </w:rPr>
        <w:t xml:space="preserve"> or less than </w:t>
      </w:r>
      <w:r w:rsidR="004D7FF2">
        <w:rPr>
          <w:rFonts w:ascii="Times New Roman" w:hAnsi="Times New Roman"/>
          <w:sz w:val="24"/>
          <w:szCs w:val="24"/>
        </w:rPr>
        <w:t xml:space="preserve">30% of </w:t>
      </w:r>
      <w:r w:rsidR="002630B2">
        <w:rPr>
          <w:rFonts w:ascii="Times New Roman" w:hAnsi="Times New Roman"/>
          <w:sz w:val="24"/>
          <w:szCs w:val="24"/>
        </w:rPr>
        <w:t>AMI, and those with low income (LI)</w:t>
      </w:r>
      <w:r w:rsidR="00340502">
        <w:rPr>
          <w:rFonts w:ascii="Times New Roman" w:hAnsi="Times New Roman"/>
          <w:sz w:val="24"/>
          <w:szCs w:val="24"/>
        </w:rPr>
        <w:t xml:space="preserve"> of</w:t>
      </w:r>
      <w:r w:rsidR="002630B2">
        <w:rPr>
          <w:rFonts w:ascii="Times New Roman" w:hAnsi="Times New Roman"/>
          <w:sz w:val="24"/>
          <w:szCs w:val="24"/>
        </w:rPr>
        <w:t xml:space="preserve"> 30% to 80%</w:t>
      </w:r>
      <w:r w:rsidR="00340502">
        <w:rPr>
          <w:rFonts w:ascii="Times New Roman" w:hAnsi="Times New Roman"/>
          <w:sz w:val="24"/>
          <w:szCs w:val="24"/>
        </w:rPr>
        <w:t xml:space="preserve"> of</w:t>
      </w:r>
      <w:r w:rsidR="002630B2">
        <w:rPr>
          <w:rFonts w:ascii="Times New Roman" w:hAnsi="Times New Roman"/>
          <w:sz w:val="24"/>
          <w:szCs w:val="24"/>
        </w:rPr>
        <w:t xml:space="preserve"> AMI.</w:t>
      </w:r>
    </w:p>
    <w:p w:rsidR="006B3026" w:rsidRDefault="006B3026" w:rsidP="00964055">
      <w:pPr>
        <w:pStyle w:val="ListParagraph"/>
        <w:spacing w:line="480" w:lineRule="auto"/>
        <w:ind w:left="0"/>
        <w:rPr>
          <w:rFonts w:ascii="Times New Roman" w:hAnsi="Times New Roman"/>
          <w:sz w:val="24"/>
          <w:szCs w:val="24"/>
        </w:rPr>
      </w:pPr>
    </w:p>
    <w:p w:rsidR="00E1467B" w:rsidRDefault="00E1467B" w:rsidP="00964055">
      <w:pPr>
        <w:pStyle w:val="ListParagraph"/>
        <w:spacing w:line="480" w:lineRule="auto"/>
        <w:ind w:left="0"/>
        <w:rPr>
          <w:rFonts w:ascii="Times New Roman" w:hAnsi="Times New Roman"/>
          <w:sz w:val="24"/>
          <w:szCs w:val="24"/>
        </w:rPr>
      </w:pPr>
      <w:r>
        <w:rPr>
          <w:rFonts w:ascii="Times New Roman" w:hAnsi="Times New Roman"/>
          <w:sz w:val="24"/>
          <w:szCs w:val="24"/>
        </w:rPr>
        <w:lastRenderedPageBreak/>
        <w:t xml:space="preserve">2.3 </w:t>
      </w:r>
      <w:r w:rsidR="00C64A78">
        <w:rPr>
          <w:rFonts w:ascii="Times New Roman" w:hAnsi="Times New Roman"/>
          <w:sz w:val="24"/>
          <w:szCs w:val="24"/>
        </w:rPr>
        <w:t>The mismatch of s</w:t>
      </w:r>
      <w:r w:rsidRPr="00E1467B">
        <w:rPr>
          <w:rFonts w:ascii="Times New Roman" w:hAnsi="Times New Roman"/>
          <w:sz w:val="24"/>
          <w:szCs w:val="24"/>
        </w:rPr>
        <w:t>upply and demand</w:t>
      </w:r>
    </w:p>
    <w:p w:rsidR="000B3D29" w:rsidRDefault="00C25581" w:rsidP="00DD14A3">
      <w:pPr>
        <w:pStyle w:val="ListParagraph"/>
        <w:spacing w:line="480" w:lineRule="auto"/>
        <w:ind w:left="0" w:firstLine="720"/>
        <w:rPr>
          <w:rFonts w:ascii="Times New Roman" w:hAnsi="Times New Roman"/>
          <w:sz w:val="24"/>
          <w:szCs w:val="24"/>
        </w:rPr>
      </w:pPr>
      <w:r>
        <w:rPr>
          <w:rFonts w:ascii="Times New Roman" w:hAnsi="Times New Roman"/>
          <w:sz w:val="24"/>
          <w:szCs w:val="24"/>
        </w:rPr>
        <w:t xml:space="preserve">To discuss the spatial mismatch </w:t>
      </w:r>
      <w:r w:rsidR="00BE42D3">
        <w:rPr>
          <w:rFonts w:ascii="Times New Roman" w:hAnsi="Times New Roman"/>
          <w:sz w:val="24"/>
          <w:szCs w:val="24"/>
        </w:rPr>
        <w:t xml:space="preserve">of housing and jobs </w:t>
      </w:r>
      <w:r>
        <w:rPr>
          <w:rFonts w:ascii="Times New Roman" w:hAnsi="Times New Roman"/>
          <w:sz w:val="24"/>
          <w:szCs w:val="24"/>
        </w:rPr>
        <w:t xml:space="preserve">from the </w:t>
      </w:r>
      <w:r w:rsidR="00BE42D3">
        <w:rPr>
          <w:rFonts w:ascii="Times New Roman" w:hAnsi="Times New Roman"/>
          <w:sz w:val="24"/>
          <w:szCs w:val="24"/>
        </w:rPr>
        <w:t xml:space="preserve">perspective of the </w:t>
      </w:r>
      <w:r>
        <w:rPr>
          <w:rFonts w:ascii="Times New Roman" w:hAnsi="Times New Roman"/>
          <w:sz w:val="24"/>
          <w:szCs w:val="24"/>
        </w:rPr>
        <w:t>low-income employment</w:t>
      </w:r>
      <w:r w:rsidR="00BE42D3">
        <w:rPr>
          <w:rFonts w:ascii="Times New Roman" w:hAnsi="Times New Roman"/>
          <w:sz w:val="24"/>
          <w:szCs w:val="24"/>
        </w:rPr>
        <w:t xml:space="preserve"> population</w:t>
      </w:r>
      <w:r>
        <w:rPr>
          <w:rFonts w:ascii="Times New Roman" w:hAnsi="Times New Roman"/>
          <w:sz w:val="24"/>
          <w:szCs w:val="24"/>
        </w:rPr>
        <w:t xml:space="preserve">, there are several </w:t>
      </w:r>
      <w:r w:rsidR="00C152C8">
        <w:rPr>
          <w:rFonts w:ascii="Times New Roman" w:hAnsi="Times New Roman"/>
          <w:sz w:val="24"/>
          <w:szCs w:val="24"/>
        </w:rPr>
        <w:t xml:space="preserve">factors for </w:t>
      </w:r>
      <w:r>
        <w:rPr>
          <w:rFonts w:ascii="Times New Roman" w:hAnsi="Times New Roman"/>
          <w:sz w:val="24"/>
          <w:szCs w:val="24"/>
        </w:rPr>
        <w:t>consideration</w:t>
      </w:r>
      <w:r w:rsidR="00C152C8">
        <w:rPr>
          <w:rFonts w:ascii="Times New Roman" w:hAnsi="Times New Roman"/>
          <w:sz w:val="24"/>
          <w:szCs w:val="24"/>
        </w:rPr>
        <w:t>,</w:t>
      </w:r>
      <w:r>
        <w:rPr>
          <w:rFonts w:ascii="Times New Roman" w:hAnsi="Times New Roman"/>
          <w:sz w:val="24"/>
          <w:szCs w:val="24"/>
        </w:rPr>
        <w:t xml:space="preserve"> </w:t>
      </w:r>
      <w:r w:rsidR="00B91A2C">
        <w:rPr>
          <w:rFonts w:ascii="Times New Roman" w:hAnsi="Times New Roman"/>
          <w:sz w:val="24"/>
          <w:szCs w:val="24"/>
        </w:rPr>
        <w:t xml:space="preserve">such </w:t>
      </w:r>
      <w:r>
        <w:rPr>
          <w:rFonts w:ascii="Times New Roman" w:hAnsi="Times New Roman"/>
          <w:sz w:val="24"/>
          <w:szCs w:val="24"/>
        </w:rPr>
        <w:t xml:space="preserve">as </w:t>
      </w:r>
      <w:r w:rsidR="00BE42D3">
        <w:rPr>
          <w:rFonts w:ascii="Times New Roman" w:hAnsi="Times New Roman"/>
          <w:sz w:val="24"/>
          <w:szCs w:val="24"/>
        </w:rPr>
        <w:t>commuting costs that are t</w:t>
      </w:r>
      <w:r w:rsidR="00FA4EA7">
        <w:rPr>
          <w:rFonts w:ascii="Times New Roman" w:hAnsi="Times New Roman"/>
          <w:sz w:val="24"/>
          <w:szCs w:val="24"/>
        </w:rPr>
        <w:t>oo high compared to wages</w:t>
      </w:r>
      <w:r>
        <w:rPr>
          <w:rFonts w:ascii="Times New Roman" w:hAnsi="Times New Roman"/>
          <w:sz w:val="24"/>
          <w:szCs w:val="24"/>
        </w:rPr>
        <w:t>,</w:t>
      </w:r>
      <w:r w:rsidR="00D86E7C">
        <w:rPr>
          <w:rFonts w:ascii="Times New Roman" w:hAnsi="Times New Roman"/>
          <w:sz w:val="24"/>
          <w:szCs w:val="24"/>
        </w:rPr>
        <w:t xml:space="preserve"> </w:t>
      </w:r>
      <w:r w:rsidR="00343957">
        <w:rPr>
          <w:rFonts w:ascii="Times New Roman" w:hAnsi="Times New Roman"/>
          <w:sz w:val="24"/>
          <w:szCs w:val="24"/>
        </w:rPr>
        <w:t xml:space="preserve">insufficient </w:t>
      </w:r>
      <w:r w:rsidR="00D86E7C">
        <w:rPr>
          <w:rFonts w:ascii="Times New Roman" w:hAnsi="Times New Roman"/>
          <w:sz w:val="24"/>
          <w:szCs w:val="24"/>
        </w:rPr>
        <w:t>information</w:t>
      </w:r>
      <w:r w:rsidR="003142A3">
        <w:rPr>
          <w:rFonts w:ascii="Times New Roman" w:hAnsi="Times New Roman"/>
          <w:sz w:val="24"/>
          <w:szCs w:val="24"/>
        </w:rPr>
        <w:t>,</w:t>
      </w:r>
      <w:r w:rsidR="00D86E7C">
        <w:rPr>
          <w:rFonts w:ascii="Times New Roman" w:hAnsi="Times New Roman"/>
          <w:sz w:val="24"/>
          <w:szCs w:val="24"/>
        </w:rPr>
        <w:t xml:space="preserve"> and </w:t>
      </w:r>
      <w:r w:rsidR="00B632B0">
        <w:rPr>
          <w:rFonts w:ascii="Times New Roman" w:hAnsi="Times New Roman"/>
          <w:sz w:val="24"/>
          <w:szCs w:val="24"/>
        </w:rPr>
        <w:t xml:space="preserve">the cost of searching for jobs from distant residential locations </w:t>
      </w:r>
      <w:r w:rsidR="003A129E">
        <w:rPr>
          <w:rFonts w:ascii="Times New Roman" w:hAnsi="Times New Roman"/>
          <w:sz w:val="24"/>
          <w:szCs w:val="24"/>
        </w:rPr>
        <w:fldChar w:fldCharType="begin">
          <w:fldData xml:space="preserve">PEVuZE5vdGU+PENpdGU+PEF1dGhvcj5Hb2JpbGxvbjwvQXV0aG9yPjxZZWFyPjIwMDc8L1llYXI+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</w:fldData>
        </w:fldChar>
      </w:r>
      <w:r w:rsidR="00B56290">
        <w:rPr>
          <w:rFonts w:ascii="Times New Roman" w:hAnsi="Times New Roman"/>
          <w:sz w:val="24"/>
          <w:szCs w:val="24"/>
        </w:rPr>
        <w:instrText xml:space="preserve"> ADDIN EN.CITE </w:instrText>
      </w:r>
      <w:r w:rsidR="003A129E">
        <w:rPr>
          <w:rFonts w:ascii="Times New Roman" w:hAnsi="Times New Roman"/>
          <w:sz w:val="24"/>
          <w:szCs w:val="24"/>
        </w:rPr>
        <w:fldChar w:fldCharType="begin">
          <w:fldData xml:space="preserve">PEVuZE5vdGU+PENpdGU+PEF1dGhvcj5Hb2JpbGxvbjwvQXV0aG9yPjxZZWFyPjIwMDc8L1llYXI+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</w:fldData>
        </w:fldChar>
      </w:r>
      <w:r w:rsidR="00B56290">
        <w:rPr>
          <w:rFonts w:ascii="Times New Roman" w:hAnsi="Times New Roman"/>
          <w:sz w:val="24"/>
          <w:szCs w:val="24"/>
        </w:rPr>
        <w:instrText xml:space="preserve"> ADDIN EN.CITE.DATA </w:instrText>
      </w:r>
      <w:r w:rsidR="003A129E">
        <w:rPr>
          <w:rFonts w:ascii="Times New Roman" w:hAnsi="Times New Roman"/>
          <w:sz w:val="24"/>
          <w:szCs w:val="24"/>
        </w:rPr>
      </w:r>
      <w:r w:rsidR="003A129E">
        <w:rPr>
          <w:rFonts w:ascii="Times New Roman" w:hAnsi="Times New Roman"/>
          <w:sz w:val="24"/>
          <w:szCs w:val="24"/>
        </w:rPr>
        <w:fldChar w:fldCharType="end"/>
      </w:r>
      <w:r w:rsidR="003A129E">
        <w:rPr>
          <w:rFonts w:ascii="Times New Roman" w:hAnsi="Times New Roman"/>
          <w:sz w:val="24"/>
          <w:szCs w:val="24"/>
        </w:rPr>
      </w:r>
      <w:r w:rsidR="003A129E">
        <w:rPr>
          <w:rFonts w:ascii="Times New Roman" w:hAnsi="Times New Roman"/>
          <w:sz w:val="24"/>
          <w:szCs w:val="24"/>
        </w:rPr>
        <w:fldChar w:fldCharType="separate"/>
      </w:r>
      <w:r>
        <w:rPr>
          <w:rFonts w:ascii="Times New Roman" w:hAnsi="Times New Roman"/>
          <w:noProof/>
          <w:sz w:val="24"/>
          <w:szCs w:val="24"/>
        </w:rPr>
        <w:t>(Gobillon, Selod, &amp; Zenou, 2007)</w:t>
      </w:r>
      <w:r w:rsidR="003A129E">
        <w:rPr>
          <w:rFonts w:ascii="Times New Roman" w:hAnsi="Times New Roman"/>
          <w:sz w:val="24"/>
          <w:szCs w:val="24"/>
        </w:rPr>
        <w:fldChar w:fldCharType="end"/>
      </w:r>
      <w:r w:rsidR="00837027">
        <w:rPr>
          <w:rFonts w:ascii="Times New Roman" w:hAnsi="Times New Roman"/>
          <w:sz w:val="24"/>
          <w:szCs w:val="24"/>
        </w:rPr>
        <w:t>.</w:t>
      </w:r>
      <w:r w:rsidR="00837027" w:rsidRPr="00837027">
        <w:rPr>
          <w:rFonts w:ascii="Times New Roman" w:hAnsi="Times New Roman"/>
          <w:sz w:val="24"/>
          <w:szCs w:val="24"/>
        </w:rPr>
        <w:t xml:space="preserve"> </w:t>
      </w:r>
      <w:r w:rsidR="00C36A64">
        <w:rPr>
          <w:rFonts w:ascii="Times New Roman" w:hAnsi="Times New Roman"/>
          <w:sz w:val="24"/>
          <w:szCs w:val="24"/>
        </w:rPr>
        <w:t>Because</w:t>
      </w:r>
      <w:r w:rsidR="00837027">
        <w:rPr>
          <w:rFonts w:ascii="Times New Roman" w:hAnsi="Times New Roman"/>
          <w:sz w:val="24"/>
          <w:szCs w:val="24"/>
        </w:rPr>
        <w:t xml:space="preserve"> of c</w:t>
      </w:r>
      <w:r w:rsidR="002C6516">
        <w:rPr>
          <w:rFonts w:ascii="Times New Roman" w:hAnsi="Times New Roman"/>
          <w:sz w:val="24"/>
          <w:szCs w:val="24"/>
        </w:rPr>
        <w:t>onstrained mobility</w:t>
      </w:r>
      <w:r w:rsidR="00C00864">
        <w:rPr>
          <w:rFonts w:ascii="Times New Roman" w:hAnsi="Times New Roman"/>
          <w:sz w:val="24"/>
          <w:szCs w:val="24"/>
        </w:rPr>
        <w:t>,</w:t>
      </w:r>
      <w:r w:rsidR="00837027">
        <w:rPr>
          <w:rFonts w:ascii="Times New Roman" w:hAnsi="Times New Roman"/>
          <w:sz w:val="24"/>
          <w:szCs w:val="24"/>
        </w:rPr>
        <w:t xml:space="preserve"> </w:t>
      </w:r>
      <w:r w:rsidR="002C6516">
        <w:rPr>
          <w:rFonts w:ascii="Times New Roman" w:hAnsi="Times New Roman"/>
          <w:sz w:val="24"/>
          <w:szCs w:val="24"/>
        </w:rPr>
        <w:t xml:space="preserve">low-income workers </w:t>
      </w:r>
      <w:r w:rsidR="00C62825">
        <w:rPr>
          <w:rFonts w:ascii="Times New Roman" w:hAnsi="Times New Roman"/>
          <w:sz w:val="24"/>
          <w:szCs w:val="24"/>
        </w:rPr>
        <w:t xml:space="preserve">can </w:t>
      </w:r>
      <w:r w:rsidR="00B632B0">
        <w:rPr>
          <w:rFonts w:ascii="Times New Roman" w:hAnsi="Times New Roman"/>
          <w:sz w:val="24"/>
          <w:szCs w:val="24"/>
        </w:rPr>
        <w:t xml:space="preserve">experience difficulty in finding </w:t>
      </w:r>
      <w:r w:rsidR="002C6516">
        <w:rPr>
          <w:rFonts w:ascii="Times New Roman" w:hAnsi="Times New Roman"/>
          <w:sz w:val="24"/>
          <w:szCs w:val="24"/>
        </w:rPr>
        <w:t>affor</w:t>
      </w:r>
      <w:r w:rsidR="00A16A8D">
        <w:rPr>
          <w:rFonts w:ascii="Times New Roman" w:hAnsi="Times New Roman"/>
          <w:sz w:val="24"/>
          <w:szCs w:val="24"/>
        </w:rPr>
        <w:t xml:space="preserve">dable housing </w:t>
      </w:r>
      <w:r w:rsidR="00B91A2C">
        <w:rPr>
          <w:rFonts w:ascii="Times New Roman" w:hAnsi="Times New Roman"/>
          <w:sz w:val="24"/>
          <w:szCs w:val="24"/>
        </w:rPr>
        <w:t xml:space="preserve">near </w:t>
      </w:r>
      <w:r w:rsidR="00B632B0">
        <w:rPr>
          <w:rFonts w:ascii="Times New Roman" w:hAnsi="Times New Roman"/>
          <w:sz w:val="24"/>
          <w:szCs w:val="24"/>
        </w:rPr>
        <w:t>locations with employment opportunities.</w:t>
      </w:r>
      <w:r w:rsidR="00DE2076">
        <w:rPr>
          <w:rFonts w:ascii="Times New Roman" w:hAnsi="Times New Roman"/>
          <w:sz w:val="24"/>
          <w:szCs w:val="24"/>
        </w:rPr>
        <w:t xml:space="preserve"> </w:t>
      </w:r>
      <w:r w:rsidR="00C36A64">
        <w:rPr>
          <w:rFonts w:ascii="Times New Roman" w:hAnsi="Times New Roman"/>
          <w:sz w:val="24"/>
          <w:szCs w:val="24"/>
        </w:rPr>
        <w:t xml:space="preserve">These </w:t>
      </w:r>
      <w:r w:rsidR="00B632B0">
        <w:rPr>
          <w:rFonts w:ascii="Times New Roman" w:hAnsi="Times New Roman"/>
          <w:sz w:val="24"/>
          <w:szCs w:val="24"/>
        </w:rPr>
        <w:t xml:space="preserve">groups </w:t>
      </w:r>
      <w:r w:rsidR="00C62825">
        <w:rPr>
          <w:rFonts w:ascii="Times New Roman" w:hAnsi="Times New Roman"/>
          <w:sz w:val="24"/>
          <w:szCs w:val="24"/>
        </w:rPr>
        <w:t xml:space="preserve">may </w:t>
      </w:r>
      <w:r w:rsidR="00B632B0">
        <w:rPr>
          <w:rFonts w:ascii="Times New Roman" w:hAnsi="Times New Roman"/>
          <w:sz w:val="24"/>
          <w:szCs w:val="24"/>
        </w:rPr>
        <w:t xml:space="preserve">have difficulty </w:t>
      </w:r>
      <w:r w:rsidR="00DE2076">
        <w:rPr>
          <w:rFonts w:ascii="Times New Roman" w:hAnsi="Times New Roman"/>
          <w:sz w:val="24"/>
          <w:szCs w:val="24"/>
        </w:rPr>
        <w:t>afford</w:t>
      </w:r>
      <w:r w:rsidR="00B632B0">
        <w:rPr>
          <w:rFonts w:ascii="Times New Roman" w:hAnsi="Times New Roman"/>
          <w:sz w:val="24"/>
          <w:szCs w:val="24"/>
        </w:rPr>
        <w:t>ing</w:t>
      </w:r>
      <w:r w:rsidR="00DE2076">
        <w:rPr>
          <w:rFonts w:ascii="Times New Roman" w:hAnsi="Times New Roman"/>
          <w:sz w:val="24"/>
          <w:szCs w:val="24"/>
        </w:rPr>
        <w:t xml:space="preserve"> </w:t>
      </w:r>
      <w:r w:rsidR="00A16A8D">
        <w:rPr>
          <w:rFonts w:ascii="Times New Roman" w:hAnsi="Times New Roman"/>
          <w:sz w:val="24"/>
          <w:szCs w:val="24"/>
        </w:rPr>
        <w:t xml:space="preserve">high </w:t>
      </w:r>
      <w:r w:rsidR="002D774D">
        <w:rPr>
          <w:rFonts w:ascii="Times New Roman" w:hAnsi="Times New Roman"/>
          <w:sz w:val="24"/>
          <w:szCs w:val="24"/>
        </w:rPr>
        <w:t xml:space="preserve">commuting </w:t>
      </w:r>
      <w:r w:rsidR="00A16A8D">
        <w:rPr>
          <w:rFonts w:ascii="Times New Roman" w:hAnsi="Times New Roman"/>
          <w:sz w:val="24"/>
          <w:szCs w:val="24"/>
        </w:rPr>
        <w:t>cost</w:t>
      </w:r>
      <w:r w:rsidR="00B632B0">
        <w:rPr>
          <w:rFonts w:ascii="Times New Roman" w:hAnsi="Times New Roman"/>
          <w:sz w:val="24"/>
          <w:szCs w:val="24"/>
        </w:rPr>
        <w:t>s</w:t>
      </w:r>
      <w:r w:rsidR="007C688F">
        <w:rPr>
          <w:rFonts w:ascii="Times New Roman" w:hAnsi="Times New Roman"/>
          <w:sz w:val="24"/>
          <w:szCs w:val="24"/>
        </w:rPr>
        <w:t xml:space="preserve"> if the</w:t>
      </w:r>
      <w:r w:rsidR="00C62825">
        <w:rPr>
          <w:rFonts w:ascii="Times New Roman" w:hAnsi="Times New Roman"/>
          <w:sz w:val="24"/>
          <w:szCs w:val="24"/>
        </w:rPr>
        <w:t>y live in distant suburban locations</w:t>
      </w:r>
      <w:r w:rsidR="00A16A8D">
        <w:rPr>
          <w:rFonts w:ascii="Times New Roman" w:hAnsi="Times New Roman"/>
          <w:sz w:val="24"/>
          <w:szCs w:val="24"/>
        </w:rPr>
        <w:t xml:space="preserve"> </w:t>
      </w:r>
      <w:r w:rsidR="002D774D">
        <w:rPr>
          <w:rFonts w:ascii="Times New Roman" w:hAnsi="Times New Roman"/>
          <w:sz w:val="24"/>
          <w:szCs w:val="24"/>
        </w:rPr>
        <w:t xml:space="preserve">where </w:t>
      </w:r>
      <w:r w:rsidR="00C62825">
        <w:rPr>
          <w:rFonts w:ascii="Times New Roman" w:hAnsi="Times New Roman"/>
          <w:sz w:val="24"/>
          <w:szCs w:val="24"/>
        </w:rPr>
        <w:t xml:space="preserve">there is a </w:t>
      </w:r>
      <w:r w:rsidR="002D774D">
        <w:rPr>
          <w:rFonts w:ascii="Times New Roman" w:hAnsi="Times New Roman"/>
          <w:sz w:val="24"/>
          <w:szCs w:val="24"/>
        </w:rPr>
        <w:t xml:space="preserve">lack of </w:t>
      </w:r>
      <w:r w:rsidR="00A16A8D">
        <w:rPr>
          <w:rFonts w:ascii="Times New Roman" w:hAnsi="Times New Roman"/>
          <w:sz w:val="24"/>
          <w:szCs w:val="24"/>
        </w:rPr>
        <w:t xml:space="preserve">sufficient public </w:t>
      </w:r>
      <w:r w:rsidR="00C62825">
        <w:rPr>
          <w:rFonts w:ascii="Times New Roman" w:hAnsi="Times New Roman"/>
          <w:sz w:val="24"/>
          <w:szCs w:val="24"/>
        </w:rPr>
        <w:t>transportation</w:t>
      </w:r>
      <w:r w:rsidR="00343058">
        <w:rPr>
          <w:rFonts w:ascii="Times New Roman" w:hAnsi="Times New Roman"/>
          <w:sz w:val="24"/>
          <w:szCs w:val="24"/>
        </w:rPr>
        <w:t xml:space="preserve"> and employment</w:t>
      </w:r>
      <w:r w:rsidR="002D774D">
        <w:rPr>
          <w:rFonts w:ascii="Times New Roman" w:hAnsi="Times New Roman"/>
          <w:sz w:val="24"/>
          <w:szCs w:val="24"/>
        </w:rPr>
        <w:t xml:space="preserve">. </w:t>
      </w:r>
    </w:p>
    <w:p w:rsidR="002C6516" w:rsidRPr="00E1467B" w:rsidRDefault="00C36A64" w:rsidP="00476206">
      <w:pPr>
        <w:pStyle w:val="ListParagraph"/>
        <w:spacing w:line="480" w:lineRule="auto"/>
        <w:ind w:left="0" w:firstLine="720"/>
        <w:rPr>
          <w:rFonts w:ascii="Times New Roman" w:hAnsi="Times New Roman"/>
          <w:sz w:val="24"/>
          <w:szCs w:val="24"/>
        </w:rPr>
      </w:pPr>
      <w:r>
        <w:rPr>
          <w:rFonts w:ascii="Times New Roman" w:hAnsi="Times New Roman"/>
          <w:sz w:val="24"/>
          <w:szCs w:val="24"/>
        </w:rPr>
        <w:t>Measuring</w:t>
      </w:r>
      <w:r w:rsidR="00A16A8D">
        <w:rPr>
          <w:rFonts w:ascii="Times New Roman" w:hAnsi="Times New Roman"/>
          <w:sz w:val="24"/>
          <w:szCs w:val="24"/>
        </w:rPr>
        <w:t xml:space="preserve"> </w:t>
      </w:r>
      <w:r w:rsidR="00A16A8D" w:rsidRPr="00DE2076">
        <w:rPr>
          <w:rFonts w:ascii="Times New Roman" w:hAnsi="Times New Roman"/>
          <w:sz w:val="24"/>
          <w:szCs w:val="24"/>
        </w:rPr>
        <w:t>urban spatial</w:t>
      </w:r>
      <w:r w:rsidR="00A16A8D">
        <w:rPr>
          <w:rFonts w:ascii="Times New Roman" w:hAnsi="Times New Roman"/>
          <w:sz w:val="24"/>
          <w:szCs w:val="24"/>
        </w:rPr>
        <w:t xml:space="preserve"> </w:t>
      </w:r>
      <w:r w:rsidR="00A16A8D" w:rsidRPr="00DE2076">
        <w:rPr>
          <w:rFonts w:ascii="Times New Roman" w:hAnsi="Times New Roman"/>
          <w:sz w:val="24"/>
          <w:szCs w:val="24"/>
        </w:rPr>
        <w:t xml:space="preserve">mismatch using job-housing indicators </w:t>
      </w:r>
      <w:r w:rsidR="001D2A77">
        <w:rPr>
          <w:rFonts w:ascii="Times New Roman" w:hAnsi="Times New Roman"/>
          <w:sz w:val="24"/>
          <w:szCs w:val="24"/>
        </w:rPr>
        <w:t>for</w:t>
      </w:r>
      <w:r w:rsidR="00A16A8D">
        <w:rPr>
          <w:rFonts w:ascii="Times New Roman" w:hAnsi="Times New Roman"/>
          <w:sz w:val="24"/>
          <w:szCs w:val="24"/>
        </w:rPr>
        <w:t xml:space="preserve"> </w:t>
      </w:r>
      <w:r w:rsidR="00A16A8D" w:rsidRPr="00DE2076">
        <w:rPr>
          <w:rFonts w:ascii="Times New Roman" w:hAnsi="Times New Roman"/>
          <w:sz w:val="24"/>
          <w:szCs w:val="24"/>
        </w:rPr>
        <w:t>model</w:t>
      </w:r>
      <w:r w:rsidR="00A16A8D">
        <w:rPr>
          <w:rFonts w:ascii="Times New Roman" w:hAnsi="Times New Roman"/>
          <w:sz w:val="24"/>
          <w:szCs w:val="24"/>
        </w:rPr>
        <w:t>ing and analy</w:t>
      </w:r>
      <w:r w:rsidR="00C9012C">
        <w:rPr>
          <w:rFonts w:ascii="Times New Roman" w:hAnsi="Times New Roman"/>
          <w:sz w:val="24"/>
          <w:szCs w:val="24"/>
        </w:rPr>
        <w:t>sis</w:t>
      </w:r>
      <w:r w:rsidR="001D2A77">
        <w:rPr>
          <w:rFonts w:ascii="Times New Roman" w:hAnsi="Times New Roman"/>
          <w:sz w:val="24"/>
          <w:szCs w:val="24"/>
        </w:rPr>
        <w:t xml:space="preserve"> </w:t>
      </w:r>
      <w:r w:rsidR="000B3D29">
        <w:rPr>
          <w:rFonts w:ascii="Times New Roman" w:hAnsi="Times New Roman"/>
          <w:sz w:val="24"/>
          <w:szCs w:val="24"/>
        </w:rPr>
        <w:t xml:space="preserve">has been </w:t>
      </w:r>
      <w:r w:rsidR="001D2A77">
        <w:rPr>
          <w:rFonts w:ascii="Times New Roman" w:hAnsi="Times New Roman"/>
          <w:sz w:val="24"/>
          <w:szCs w:val="24"/>
        </w:rPr>
        <w:t>supported by more and more researchers and planners</w:t>
      </w:r>
      <w:r w:rsidR="00A16A8D">
        <w:rPr>
          <w:rFonts w:ascii="Times New Roman" w:hAnsi="Times New Roman"/>
          <w:sz w:val="24"/>
          <w:szCs w:val="24"/>
        </w:rPr>
        <w:t>.</w:t>
      </w:r>
      <w:r w:rsidR="00964055">
        <w:rPr>
          <w:rFonts w:ascii="Times New Roman" w:hAnsi="Times New Roman"/>
          <w:sz w:val="24"/>
          <w:szCs w:val="24"/>
        </w:rPr>
        <w:t xml:space="preserve"> In </w:t>
      </w:r>
      <w:r w:rsidR="00C9012C">
        <w:rPr>
          <w:rFonts w:ascii="Times New Roman" w:hAnsi="Times New Roman"/>
          <w:sz w:val="24"/>
          <w:szCs w:val="24"/>
        </w:rPr>
        <w:t xml:space="preserve">research by </w:t>
      </w:r>
      <w:r w:rsidR="00964055">
        <w:rPr>
          <w:rFonts w:ascii="Times New Roman" w:hAnsi="Times New Roman"/>
          <w:sz w:val="24"/>
          <w:szCs w:val="24"/>
        </w:rPr>
        <w:t>Horner</w:t>
      </w:r>
      <w:r w:rsidR="00CC2ECB">
        <w:rPr>
          <w:rFonts w:ascii="Times New Roman" w:hAnsi="Times New Roman"/>
          <w:sz w:val="24"/>
          <w:szCs w:val="24"/>
        </w:rPr>
        <w:t xml:space="preserve"> and </w:t>
      </w:r>
      <w:proofErr w:type="spellStart"/>
      <w:r w:rsidR="00CC2ECB">
        <w:rPr>
          <w:rFonts w:ascii="Times New Roman" w:hAnsi="Times New Roman"/>
          <w:sz w:val="24"/>
          <w:szCs w:val="24"/>
        </w:rPr>
        <w:t>Mefford</w:t>
      </w:r>
      <w:proofErr w:type="spellEnd"/>
      <w:r w:rsidR="00CC2ECB">
        <w:rPr>
          <w:rFonts w:ascii="Times New Roman" w:hAnsi="Times New Roman"/>
          <w:sz w:val="24"/>
          <w:szCs w:val="24"/>
        </w:rPr>
        <w:t xml:space="preserve"> (2007)</w:t>
      </w:r>
      <w:r w:rsidR="00964055">
        <w:rPr>
          <w:rFonts w:ascii="Times New Roman" w:hAnsi="Times New Roman"/>
          <w:sz w:val="24"/>
          <w:szCs w:val="24"/>
        </w:rPr>
        <w:t xml:space="preserve">, modeling was developed based on </w:t>
      </w:r>
      <w:r w:rsidR="00C9012C">
        <w:rPr>
          <w:rFonts w:ascii="Times New Roman" w:hAnsi="Times New Roman"/>
          <w:sz w:val="24"/>
          <w:szCs w:val="24"/>
        </w:rPr>
        <w:t xml:space="preserve">a </w:t>
      </w:r>
      <w:r w:rsidR="00964055">
        <w:rPr>
          <w:rFonts w:ascii="Times New Roman" w:hAnsi="Times New Roman"/>
          <w:sz w:val="24"/>
          <w:szCs w:val="24"/>
        </w:rPr>
        <w:t xml:space="preserve">review of </w:t>
      </w:r>
      <w:r w:rsidR="00C9012C">
        <w:rPr>
          <w:rFonts w:ascii="Times New Roman" w:hAnsi="Times New Roman"/>
          <w:sz w:val="24"/>
          <w:szCs w:val="24"/>
        </w:rPr>
        <w:t xml:space="preserve">the </w:t>
      </w:r>
      <w:r w:rsidR="00964055">
        <w:rPr>
          <w:rFonts w:ascii="Times New Roman" w:hAnsi="Times New Roman"/>
          <w:sz w:val="24"/>
          <w:szCs w:val="24"/>
        </w:rPr>
        <w:t xml:space="preserve">job-housing literature and used to explore the mismatch </w:t>
      </w:r>
      <w:r w:rsidR="00C9012C">
        <w:rPr>
          <w:rFonts w:ascii="Times New Roman" w:hAnsi="Times New Roman"/>
          <w:sz w:val="24"/>
          <w:szCs w:val="24"/>
        </w:rPr>
        <w:t xml:space="preserve">between </w:t>
      </w:r>
      <w:r w:rsidR="00964055">
        <w:rPr>
          <w:rFonts w:ascii="Times New Roman" w:hAnsi="Times New Roman"/>
          <w:sz w:val="24"/>
          <w:szCs w:val="24"/>
        </w:rPr>
        <w:t>certain group</w:t>
      </w:r>
      <w:r w:rsidR="000B3D29">
        <w:rPr>
          <w:rFonts w:ascii="Times New Roman" w:hAnsi="Times New Roman"/>
          <w:sz w:val="24"/>
          <w:szCs w:val="24"/>
        </w:rPr>
        <w:t>s</w:t>
      </w:r>
      <w:r w:rsidR="00964055">
        <w:rPr>
          <w:rFonts w:ascii="Times New Roman" w:hAnsi="Times New Roman"/>
          <w:sz w:val="24"/>
          <w:szCs w:val="24"/>
        </w:rPr>
        <w:t xml:space="preserve"> of people with different background</w:t>
      </w:r>
      <w:r w:rsidR="00C9012C">
        <w:rPr>
          <w:rFonts w:ascii="Times New Roman" w:hAnsi="Times New Roman"/>
          <w:sz w:val="24"/>
          <w:szCs w:val="24"/>
        </w:rPr>
        <w:t>s</w:t>
      </w:r>
      <w:r w:rsidR="00964055" w:rsidRPr="00964055">
        <w:rPr>
          <w:rFonts w:ascii="Times New Roman" w:hAnsi="Times New Roman"/>
          <w:sz w:val="24"/>
          <w:szCs w:val="24"/>
        </w:rPr>
        <w:t>.</w:t>
      </w:r>
      <w:r w:rsidR="001D2A77">
        <w:rPr>
          <w:rFonts w:ascii="Times New Roman" w:hAnsi="Times New Roman"/>
          <w:sz w:val="24"/>
          <w:szCs w:val="24"/>
        </w:rPr>
        <w:t xml:space="preserve"> </w:t>
      </w:r>
      <w:r w:rsidR="000B3D29">
        <w:rPr>
          <w:rFonts w:ascii="Times New Roman" w:hAnsi="Times New Roman"/>
          <w:sz w:val="24"/>
          <w:szCs w:val="24"/>
        </w:rPr>
        <w:t>T</w:t>
      </w:r>
      <w:r w:rsidR="001D2A77">
        <w:rPr>
          <w:rFonts w:ascii="Times New Roman" w:hAnsi="Times New Roman"/>
          <w:sz w:val="24"/>
          <w:szCs w:val="24"/>
        </w:rPr>
        <w:t xml:space="preserve">hrough </w:t>
      </w:r>
      <w:r w:rsidR="000B3D29">
        <w:rPr>
          <w:rFonts w:ascii="Times New Roman" w:hAnsi="Times New Roman"/>
          <w:sz w:val="24"/>
          <w:szCs w:val="24"/>
        </w:rPr>
        <w:t xml:space="preserve">a </w:t>
      </w:r>
      <w:r w:rsidR="001D2A77">
        <w:rPr>
          <w:rFonts w:ascii="Times New Roman" w:hAnsi="Times New Roman"/>
          <w:sz w:val="24"/>
          <w:szCs w:val="24"/>
        </w:rPr>
        <w:t xml:space="preserve">comparison of the extent of spatial mismatch, planners could better </w:t>
      </w:r>
      <w:r w:rsidR="00B91136">
        <w:rPr>
          <w:rFonts w:ascii="Times New Roman" w:hAnsi="Times New Roman"/>
          <w:sz w:val="24"/>
          <w:szCs w:val="24"/>
        </w:rPr>
        <w:t>understand</w:t>
      </w:r>
      <w:r w:rsidR="001D2A77">
        <w:rPr>
          <w:rFonts w:ascii="Times New Roman" w:hAnsi="Times New Roman"/>
          <w:sz w:val="24"/>
          <w:szCs w:val="24"/>
        </w:rPr>
        <w:t xml:space="preserve"> which areas of housing were more suitable for target</w:t>
      </w:r>
      <w:r w:rsidR="000B3D29">
        <w:rPr>
          <w:rFonts w:ascii="Times New Roman" w:hAnsi="Times New Roman"/>
          <w:sz w:val="24"/>
          <w:szCs w:val="24"/>
        </w:rPr>
        <w:t xml:space="preserve"> populations in</w:t>
      </w:r>
      <w:r w:rsidR="001D2A77">
        <w:rPr>
          <w:rFonts w:ascii="Times New Roman" w:hAnsi="Times New Roman"/>
          <w:sz w:val="24"/>
          <w:szCs w:val="24"/>
        </w:rPr>
        <w:t xml:space="preserve"> lower income group</w:t>
      </w:r>
      <w:r w:rsidR="000B3D29">
        <w:rPr>
          <w:rFonts w:ascii="Times New Roman" w:hAnsi="Times New Roman"/>
          <w:sz w:val="24"/>
          <w:szCs w:val="24"/>
        </w:rPr>
        <w:t>s</w:t>
      </w:r>
      <w:r w:rsidR="001D2A77">
        <w:rPr>
          <w:rFonts w:ascii="Times New Roman" w:hAnsi="Times New Roman"/>
          <w:sz w:val="24"/>
          <w:szCs w:val="24"/>
        </w:rPr>
        <w:t>.</w:t>
      </w:r>
      <w:r w:rsidR="00964055" w:rsidRPr="00E1467B">
        <w:rPr>
          <w:rFonts w:ascii="Times New Roman" w:hAnsi="Times New Roman"/>
          <w:sz w:val="24"/>
          <w:szCs w:val="24"/>
        </w:rPr>
        <w:t xml:space="preserve"> </w:t>
      </w:r>
    </w:p>
    <w:p w:rsidR="001E15A7" w:rsidRPr="001E15A7" w:rsidRDefault="00A8565D" w:rsidP="00B7230F">
      <w:pPr>
        <w:spacing w:line="480" w:lineRule="auto"/>
        <w:rPr>
          <w:rFonts w:ascii="Times New Roman" w:hAnsi="Times New Roman"/>
          <w:b/>
          <w:sz w:val="24"/>
          <w:szCs w:val="24"/>
        </w:rPr>
      </w:pPr>
      <w:r w:rsidRPr="001E15A7">
        <w:rPr>
          <w:rFonts w:ascii="Times New Roman" w:hAnsi="Times New Roman"/>
          <w:b/>
          <w:sz w:val="24"/>
          <w:szCs w:val="24"/>
        </w:rPr>
        <w:t xml:space="preserve">3 </w:t>
      </w:r>
      <w:r w:rsidR="001E15A7" w:rsidRPr="001E15A7">
        <w:rPr>
          <w:rFonts w:ascii="Times New Roman" w:hAnsi="Times New Roman"/>
          <w:b/>
          <w:sz w:val="24"/>
          <w:szCs w:val="24"/>
        </w:rPr>
        <w:t xml:space="preserve">Study area and </w:t>
      </w:r>
      <w:r w:rsidRPr="001E15A7">
        <w:rPr>
          <w:rFonts w:ascii="Times New Roman" w:hAnsi="Times New Roman"/>
          <w:b/>
          <w:sz w:val="24"/>
          <w:szCs w:val="24"/>
        </w:rPr>
        <w:t>Data</w:t>
      </w:r>
      <w:r w:rsidR="001E15A7" w:rsidRPr="001E15A7">
        <w:rPr>
          <w:rFonts w:ascii="Times New Roman" w:hAnsi="Times New Roman"/>
          <w:b/>
          <w:sz w:val="24"/>
          <w:szCs w:val="24"/>
        </w:rPr>
        <w:t xml:space="preserve"> </w:t>
      </w:r>
    </w:p>
    <w:p w:rsidR="001E15A7" w:rsidRDefault="00AB7E4D" w:rsidP="00476206">
      <w:pPr>
        <w:spacing w:line="480" w:lineRule="auto"/>
        <w:ind w:firstLine="720"/>
        <w:rPr>
          <w:rFonts w:ascii="Times New Roman" w:hAnsi="Times New Roman"/>
          <w:sz w:val="24"/>
          <w:szCs w:val="24"/>
        </w:rPr>
      </w:pPr>
      <w:r>
        <w:rPr>
          <w:rFonts w:ascii="Times New Roman" w:hAnsi="Times New Roman"/>
          <w:sz w:val="24"/>
          <w:szCs w:val="24"/>
        </w:rPr>
        <w:t xml:space="preserve">In this research, </w:t>
      </w:r>
      <w:r w:rsidR="001E15A7">
        <w:rPr>
          <w:rFonts w:ascii="Times New Roman" w:hAnsi="Times New Roman"/>
          <w:sz w:val="24"/>
          <w:szCs w:val="24"/>
        </w:rPr>
        <w:t>Orange County</w:t>
      </w:r>
      <w:r w:rsidR="00CC2ECB">
        <w:rPr>
          <w:rFonts w:ascii="Times New Roman" w:hAnsi="Times New Roman"/>
          <w:sz w:val="24"/>
          <w:szCs w:val="24"/>
        </w:rPr>
        <w:t xml:space="preserve"> in</w:t>
      </w:r>
      <w:r w:rsidR="001E15A7">
        <w:rPr>
          <w:rFonts w:ascii="Times New Roman" w:hAnsi="Times New Roman"/>
          <w:sz w:val="24"/>
          <w:szCs w:val="24"/>
        </w:rPr>
        <w:t xml:space="preserve"> Florida </w:t>
      </w:r>
      <w:r>
        <w:rPr>
          <w:rFonts w:ascii="Times New Roman" w:hAnsi="Times New Roman"/>
          <w:sz w:val="24"/>
          <w:szCs w:val="24"/>
        </w:rPr>
        <w:t>is selected as the case study.</w:t>
      </w:r>
      <w:r w:rsidR="00FE588E">
        <w:rPr>
          <w:rFonts w:ascii="Times New Roman" w:hAnsi="Times New Roman"/>
          <w:sz w:val="24"/>
          <w:szCs w:val="24"/>
        </w:rPr>
        <w:t xml:space="preserve"> The following points explain</w:t>
      </w:r>
      <w:r w:rsidR="00B17E8D">
        <w:rPr>
          <w:rFonts w:ascii="Times New Roman" w:hAnsi="Times New Roman"/>
          <w:sz w:val="24"/>
          <w:szCs w:val="24"/>
        </w:rPr>
        <w:t xml:space="preserve"> the data used in the study as well as data sources.</w:t>
      </w:r>
    </w:p>
    <w:p w:rsidR="00A8565D" w:rsidRDefault="00A8565D" w:rsidP="00B7230F">
      <w:pPr>
        <w:spacing w:line="480" w:lineRule="auto"/>
        <w:rPr>
          <w:rFonts w:ascii="Times New Roman" w:hAnsi="Times New Roman"/>
          <w:sz w:val="24"/>
          <w:szCs w:val="24"/>
        </w:rPr>
      </w:pPr>
      <w:r>
        <w:rPr>
          <w:rFonts w:ascii="Times New Roman" w:hAnsi="Times New Roman"/>
          <w:sz w:val="24"/>
          <w:szCs w:val="24"/>
        </w:rPr>
        <w:t>3.1 Property Parcel</w:t>
      </w:r>
      <w:r w:rsidR="005A736C">
        <w:rPr>
          <w:rFonts w:ascii="Times New Roman" w:hAnsi="Times New Roman"/>
          <w:sz w:val="24"/>
          <w:szCs w:val="24"/>
        </w:rPr>
        <w:t>s</w:t>
      </w:r>
    </w:p>
    <w:p w:rsidR="008C572C" w:rsidRDefault="005A736C" w:rsidP="00FA4EA7">
      <w:pPr>
        <w:spacing w:line="480" w:lineRule="auto"/>
        <w:ind w:firstLine="720"/>
        <w:rPr>
          <w:rFonts w:ascii="Times New Roman" w:hAnsi="Times New Roman"/>
          <w:sz w:val="24"/>
          <w:szCs w:val="24"/>
        </w:rPr>
      </w:pPr>
      <w:r>
        <w:rPr>
          <w:rFonts w:ascii="Times New Roman" w:hAnsi="Times New Roman"/>
          <w:sz w:val="24"/>
          <w:szCs w:val="24"/>
        </w:rPr>
        <w:t>This</w:t>
      </w:r>
      <w:r w:rsidR="00A8565D">
        <w:rPr>
          <w:rFonts w:ascii="Times New Roman" w:hAnsi="Times New Roman"/>
          <w:sz w:val="24"/>
          <w:szCs w:val="24"/>
        </w:rPr>
        <w:t xml:space="preserve"> study utilized 20</w:t>
      </w:r>
      <w:r w:rsidR="002751EA">
        <w:rPr>
          <w:rFonts w:ascii="Times New Roman" w:hAnsi="Times New Roman"/>
          <w:sz w:val="24"/>
          <w:szCs w:val="24"/>
        </w:rPr>
        <w:t>09</w:t>
      </w:r>
      <w:r w:rsidR="00A8565D">
        <w:rPr>
          <w:rFonts w:ascii="Times New Roman" w:hAnsi="Times New Roman"/>
          <w:sz w:val="24"/>
          <w:szCs w:val="24"/>
        </w:rPr>
        <w:t xml:space="preserve"> </w:t>
      </w:r>
      <w:r>
        <w:rPr>
          <w:rFonts w:ascii="Times New Roman" w:hAnsi="Times New Roman"/>
          <w:sz w:val="24"/>
          <w:szCs w:val="24"/>
        </w:rPr>
        <w:t xml:space="preserve">property </w:t>
      </w:r>
      <w:r w:rsidR="00A8565D">
        <w:rPr>
          <w:rFonts w:ascii="Times New Roman" w:hAnsi="Times New Roman"/>
          <w:sz w:val="24"/>
          <w:szCs w:val="24"/>
        </w:rPr>
        <w:t xml:space="preserve">parcel and tax payer data for </w:t>
      </w:r>
      <w:r w:rsidR="003D3E52">
        <w:rPr>
          <w:rFonts w:ascii="Times New Roman" w:hAnsi="Times New Roman"/>
          <w:sz w:val="24"/>
          <w:szCs w:val="24"/>
        </w:rPr>
        <w:t>Orange County</w:t>
      </w:r>
      <w:r w:rsidR="002751EA">
        <w:rPr>
          <w:rFonts w:ascii="Times New Roman" w:hAnsi="Times New Roman"/>
          <w:sz w:val="24"/>
          <w:szCs w:val="24"/>
        </w:rPr>
        <w:t xml:space="preserve"> derived from </w:t>
      </w:r>
      <w:r>
        <w:rPr>
          <w:rFonts w:ascii="Times New Roman" w:hAnsi="Times New Roman"/>
          <w:sz w:val="24"/>
          <w:szCs w:val="24"/>
        </w:rPr>
        <w:t xml:space="preserve">the Florida Department of Revenue and retrieved from the Florida </w:t>
      </w:r>
      <w:r>
        <w:rPr>
          <w:rFonts w:ascii="Times New Roman" w:hAnsi="Times New Roman"/>
          <w:sz w:val="24"/>
          <w:szCs w:val="24"/>
        </w:rPr>
        <w:lastRenderedPageBreak/>
        <w:t>Geographic Data Library (</w:t>
      </w:r>
      <w:r w:rsidR="002751EA">
        <w:rPr>
          <w:rFonts w:ascii="Times New Roman" w:hAnsi="Times New Roman"/>
          <w:sz w:val="24"/>
          <w:szCs w:val="24"/>
        </w:rPr>
        <w:t>FGDL</w:t>
      </w:r>
      <w:r>
        <w:rPr>
          <w:rFonts w:ascii="Times New Roman" w:hAnsi="Times New Roman"/>
          <w:sz w:val="24"/>
          <w:szCs w:val="24"/>
        </w:rPr>
        <w:t>).</w:t>
      </w:r>
      <w:r w:rsidR="009F542E">
        <w:rPr>
          <w:rFonts w:ascii="Times New Roman" w:hAnsi="Times New Roman"/>
          <w:sz w:val="24"/>
          <w:szCs w:val="24"/>
        </w:rPr>
        <w:t xml:space="preserve"> </w:t>
      </w:r>
      <w:r>
        <w:rPr>
          <w:rFonts w:ascii="Times New Roman" w:hAnsi="Times New Roman"/>
          <w:sz w:val="24"/>
          <w:szCs w:val="24"/>
        </w:rPr>
        <w:t xml:space="preserve">The data is in a geographic information system (GIS) format </w:t>
      </w:r>
      <w:r w:rsidR="00A8565D">
        <w:rPr>
          <w:rFonts w:ascii="Times New Roman" w:hAnsi="Times New Roman"/>
          <w:sz w:val="24"/>
          <w:szCs w:val="24"/>
        </w:rPr>
        <w:t>which outline</w:t>
      </w:r>
      <w:r w:rsidR="00B91136">
        <w:rPr>
          <w:rFonts w:ascii="Times New Roman" w:hAnsi="Times New Roman"/>
          <w:sz w:val="24"/>
          <w:szCs w:val="24"/>
        </w:rPr>
        <w:t>s</w:t>
      </w:r>
      <w:r w:rsidR="00A8565D">
        <w:rPr>
          <w:rFonts w:ascii="Times New Roman" w:hAnsi="Times New Roman"/>
          <w:sz w:val="24"/>
          <w:szCs w:val="24"/>
        </w:rPr>
        <w:t xml:space="preserve"> the boundary </w:t>
      </w:r>
      <w:r w:rsidR="003D3E52">
        <w:rPr>
          <w:rFonts w:ascii="Times New Roman" w:hAnsi="Times New Roman"/>
          <w:sz w:val="24"/>
          <w:szCs w:val="24"/>
        </w:rPr>
        <w:t>of parcels</w:t>
      </w:r>
      <w:r w:rsidR="00A8565D">
        <w:rPr>
          <w:rFonts w:ascii="Times New Roman" w:hAnsi="Times New Roman"/>
          <w:sz w:val="24"/>
          <w:szCs w:val="24"/>
        </w:rPr>
        <w:t xml:space="preserve"> in the county and</w:t>
      </w:r>
      <w:r w:rsidR="00B91136">
        <w:rPr>
          <w:rFonts w:ascii="Times New Roman" w:hAnsi="Times New Roman"/>
          <w:sz w:val="24"/>
          <w:szCs w:val="24"/>
        </w:rPr>
        <w:t xml:space="preserve"> </w:t>
      </w:r>
      <w:r w:rsidR="00A8565D">
        <w:rPr>
          <w:rFonts w:ascii="Times New Roman" w:hAnsi="Times New Roman"/>
          <w:sz w:val="24"/>
          <w:szCs w:val="24"/>
        </w:rPr>
        <w:t>list</w:t>
      </w:r>
      <w:r>
        <w:rPr>
          <w:rFonts w:ascii="Times New Roman" w:hAnsi="Times New Roman"/>
          <w:sz w:val="24"/>
          <w:szCs w:val="24"/>
        </w:rPr>
        <w:t>s</w:t>
      </w:r>
      <w:r w:rsidR="00A8565D">
        <w:rPr>
          <w:rFonts w:ascii="Times New Roman" w:hAnsi="Times New Roman"/>
          <w:sz w:val="24"/>
          <w:szCs w:val="24"/>
        </w:rPr>
        <w:t xml:space="preserve"> </w:t>
      </w:r>
      <w:r>
        <w:rPr>
          <w:rFonts w:ascii="Times New Roman" w:hAnsi="Times New Roman"/>
          <w:sz w:val="24"/>
          <w:szCs w:val="24"/>
        </w:rPr>
        <w:t>property</w:t>
      </w:r>
      <w:r w:rsidR="002751EA">
        <w:rPr>
          <w:rFonts w:ascii="Times New Roman" w:hAnsi="Times New Roman"/>
          <w:sz w:val="24"/>
          <w:szCs w:val="24"/>
        </w:rPr>
        <w:t xml:space="preserve"> tax roll data</w:t>
      </w:r>
      <w:r>
        <w:rPr>
          <w:rFonts w:ascii="Times New Roman" w:hAnsi="Times New Roman"/>
          <w:sz w:val="24"/>
          <w:szCs w:val="24"/>
        </w:rPr>
        <w:t xml:space="preserve"> for each parcel as well as owner addresses, the year properties were built</w:t>
      </w:r>
      <w:r w:rsidR="002751EA">
        <w:rPr>
          <w:rFonts w:ascii="Times New Roman" w:hAnsi="Times New Roman"/>
          <w:sz w:val="24"/>
          <w:szCs w:val="24"/>
        </w:rPr>
        <w:t>,</w:t>
      </w:r>
      <w:r>
        <w:rPr>
          <w:rFonts w:ascii="Times New Roman" w:hAnsi="Times New Roman"/>
          <w:sz w:val="24"/>
          <w:szCs w:val="24"/>
        </w:rPr>
        <w:t xml:space="preserve"> and property just-values.</w:t>
      </w:r>
    </w:p>
    <w:p w:rsidR="002751EA" w:rsidRDefault="002751EA" w:rsidP="00B7230F">
      <w:pPr>
        <w:spacing w:line="480" w:lineRule="auto"/>
        <w:rPr>
          <w:rFonts w:ascii="Times New Roman" w:hAnsi="Times New Roman"/>
          <w:sz w:val="24"/>
          <w:szCs w:val="24"/>
        </w:rPr>
      </w:pPr>
      <w:r>
        <w:rPr>
          <w:rFonts w:ascii="Times New Roman" w:hAnsi="Times New Roman"/>
          <w:sz w:val="24"/>
          <w:szCs w:val="24"/>
        </w:rPr>
        <w:t>3.2</w:t>
      </w:r>
      <w:r w:rsidR="00B42CDF" w:rsidRPr="00B42CDF">
        <w:t xml:space="preserve"> </w:t>
      </w:r>
      <w:r w:rsidR="00B42CDF" w:rsidRPr="00B42CDF">
        <w:rPr>
          <w:rFonts w:ascii="Times New Roman" w:hAnsi="Times New Roman"/>
          <w:sz w:val="24"/>
          <w:szCs w:val="24"/>
        </w:rPr>
        <w:t>Longitudinal Employer</w:t>
      </w:r>
      <w:r w:rsidR="00B42CDF" w:rsidRPr="00B42CDF">
        <w:rPr>
          <w:rFonts w:ascii="Cambria Math" w:hAnsi="Cambria Math" w:cs="Cambria Math"/>
          <w:sz w:val="24"/>
          <w:szCs w:val="24"/>
        </w:rPr>
        <w:t>‐</w:t>
      </w:r>
      <w:r w:rsidR="00B42CDF" w:rsidRPr="00B42CDF">
        <w:rPr>
          <w:rFonts w:ascii="Times New Roman" w:hAnsi="Times New Roman"/>
          <w:sz w:val="24"/>
          <w:szCs w:val="24"/>
        </w:rPr>
        <w:t>Household Dynamics</w:t>
      </w:r>
      <w:r>
        <w:rPr>
          <w:rFonts w:ascii="Times New Roman" w:hAnsi="Times New Roman"/>
          <w:sz w:val="24"/>
          <w:szCs w:val="24"/>
        </w:rPr>
        <w:t xml:space="preserve"> </w:t>
      </w:r>
      <w:r w:rsidR="00B42CDF">
        <w:rPr>
          <w:rFonts w:ascii="Times New Roman" w:hAnsi="Times New Roman"/>
          <w:sz w:val="24"/>
          <w:szCs w:val="24"/>
        </w:rPr>
        <w:t>(LEHD)</w:t>
      </w:r>
      <w:r w:rsidRPr="002751EA">
        <w:rPr>
          <w:rFonts w:ascii="Times New Roman" w:hAnsi="Times New Roman"/>
          <w:sz w:val="24"/>
          <w:szCs w:val="24"/>
        </w:rPr>
        <w:t xml:space="preserve"> </w:t>
      </w:r>
    </w:p>
    <w:p w:rsidR="002751EA" w:rsidRPr="002751EA" w:rsidRDefault="002751EA" w:rsidP="00476206">
      <w:pPr>
        <w:spacing w:line="480" w:lineRule="auto"/>
        <w:ind w:firstLine="720"/>
        <w:rPr>
          <w:rFonts w:ascii="Times New Roman" w:hAnsi="Times New Roman"/>
          <w:sz w:val="24"/>
          <w:szCs w:val="24"/>
        </w:rPr>
      </w:pPr>
      <w:r w:rsidRPr="002751EA">
        <w:rPr>
          <w:rFonts w:ascii="Times New Roman" w:hAnsi="Times New Roman"/>
          <w:sz w:val="24"/>
          <w:szCs w:val="24"/>
        </w:rPr>
        <w:t xml:space="preserve">Quarterly Workforce Indicators </w:t>
      </w:r>
      <w:r w:rsidR="00B42CDF">
        <w:rPr>
          <w:rFonts w:ascii="Times New Roman" w:hAnsi="Times New Roman"/>
          <w:sz w:val="24"/>
          <w:szCs w:val="24"/>
        </w:rPr>
        <w:t>(</w:t>
      </w:r>
      <w:r w:rsidR="00B42CDF" w:rsidRPr="002751EA">
        <w:rPr>
          <w:rFonts w:ascii="Times New Roman" w:hAnsi="Times New Roman"/>
          <w:sz w:val="24"/>
          <w:szCs w:val="24"/>
        </w:rPr>
        <w:t>QWI</w:t>
      </w:r>
      <w:r w:rsidR="00B42CDF">
        <w:rPr>
          <w:rFonts w:ascii="Times New Roman" w:hAnsi="Times New Roman"/>
          <w:sz w:val="24"/>
          <w:szCs w:val="24"/>
        </w:rPr>
        <w:t>)</w:t>
      </w:r>
      <w:r w:rsidR="00B42CDF" w:rsidRPr="002751EA">
        <w:rPr>
          <w:rFonts w:ascii="Times New Roman" w:hAnsi="Times New Roman"/>
          <w:sz w:val="24"/>
          <w:szCs w:val="24"/>
        </w:rPr>
        <w:t xml:space="preserve"> as</w:t>
      </w:r>
      <w:r w:rsidRPr="002751EA">
        <w:rPr>
          <w:rFonts w:ascii="Times New Roman" w:hAnsi="Times New Roman"/>
          <w:sz w:val="24"/>
          <w:szCs w:val="24"/>
        </w:rPr>
        <w:t xml:space="preserve"> of 2009, derived from the LED partnership, US Census data</w:t>
      </w:r>
      <w:r w:rsidR="005A736C">
        <w:rPr>
          <w:rFonts w:ascii="Times New Roman" w:hAnsi="Times New Roman"/>
          <w:sz w:val="24"/>
          <w:szCs w:val="24"/>
        </w:rPr>
        <w:t xml:space="preserve"> were used in the study</w:t>
      </w:r>
      <w:r w:rsidR="008C572C">
        <w:rPr>
          <w:rFonts w:ascii="Times New Roman" w:hAnsi="Times New Roman"/>
          <w:sz w:val="24"/>
          <w:szCs w:val="24"/>
        </w:rPr>
        <w:t>.</w:t>
      </w:r>
    </w:p>
    <w:p w:rsidR="002751EA" w:rsidRDefault="002751EA" w:rsidP="00B7230F">
      <w:pPr>
        <w:spacing w:line="480" w:lineRule="auto"/>
        <w:rPr>
          <w:rFonts w:ascii="Times New Roman" w:hAnsi="Times New Roman"/>
          <w:sz w:val="24"/>
          <w:szCs w:val="24"/>
        </w:rPr>
      </w:pPr>
      <w:r>
        <w:rPr>
          <w:rFonts w:ascii="Times New Roman" w:hAnsi="Times New Roman"/>
          <w:sz w:val="24"/>
          <w:szCs w:val="24"/>
        </w:rPr>
        <w:t>3.3 Census block</w:t>
      </w:r>
    </w:p>
    <w:p w:rsidR="002751EA" w:rsidRDefault="00DF18C1" w:rsidP="00B7230F">
      <w:pPr>
        <w:spacing w:line="480" w:lineRule="auto"/>
        <w:rPr>
          <w:rFonts w:ascii="Times New Roman" w:hAnsi="Times New Roman"/>
          <w:sz w:val="24"/>
          <w:szCs w:val="24"/>
        </w:rPr>
      </w:pPr>
      <w:r>
        <w:rPr>
          <w:rFonts w:ascii="Times New Roman" w:hAnsi="Times New Roman"/>
          <w:sz w:val="24"/>
          <w:szCs w:val="24"/>
        </w:rPr>
        <w:t xml:space="preserve">          </w:t>
      </w:r>
      <w:r w:rsidR="002751EA">
        <w:rPr>
          <w:rFonts w:ascii="Times New Roman" w:hAnsi="Times New Roman"/>
          <w:sz w:val="24"/>
          <w:szCs w:val="24"/>
        </w:rPr>
        <w:t>Census data consist</w:t>
      </w:r>
      <w:r w:rsidR="005A736C">
        <w:rPr>
          <w:rFonts w:ascii="Times New Roman" w:hAnsi="Times New Roman"/>
          <w:sz w:val="24"/>
          <w:szCs w:val="24"/>
        </w:rPr>
        <w:t>ing</w:t>
      </w:r>
      <w:r w:rsidR="002751EA">
        <w:rPr>
          <w:rFonts w:ascii="Times New Roman" w:hAnsi="Times New Roman"/>
          <w:sz w:val="24"/>
          <w:szCs w:val="24"/>
        </w:rPr>
        <w:t xml:space="preserve"> of Topological Integrated Geographic Encoding Referencing (TIGER) line files</w:t>
      </w:r>
      <w:r w:rsidR="005A736C">
        <w:rPr>
          <w:rFonts w:ascii="Times New Roman" w:hAnsi="Times New Roman"/>
          <w:sz w:val="24"/>
          <w:szCs w:val="24"/>
        </w:rPr>
        <w:t xml:space="preserve"> were used in the study.  The data</w:t>
      </w:r>
      <w:r w:rsidR="00FA4EA7">
        <w:rPr>
          <w:rFonts w:ascii="Times New Roman" w:hAnsi="Times New Roman"/>
          <w:sz w:val="24"/>
          <w:szCs w:val="24"/>
        </w:rPr>
        <w:t xml:space="preserve"> </w:t>
      </w:r>
      <w:r w:rsidR="002751EA">
        <w:rPr>
          <w:rFonts w:ascii="Times New Roman" w:hAnsi="Times New Roman"/>
          <w:sz w:val="24"/>
          <w:szCs w:val="24"/>
        </w:rPr>
        <w:t>delineate</w:t>
      </w:r>
      <w:r w:rsidR="005A736C">
        <w:rPr>
          <w:rFonts w:ascii="Times New Roman" w:hAnsi="Times New Roman"/>
          <w:sz w:val="24"/>
          <w:szCs w:val="24"/>
        </w:rPr>
        <w:t>s</w:t>
      </w:r>
      <w:r w:rsidR="002751EA">
        <w:rPr>
          <w:rFonts w:ascii="Times New Roman" w:hAnsi="Times New Roman"/>
          <w:sz w:val="24"/>
          <w:szCs w:val="24"/>
        </w:rPr>
        <w:t xml:space="preserve"> the geographic boundaries of census units, and </w:t>
      </w:r>
      <w:r w:rsidR="00DC779D">
        <w:rPr>
          <w:rFonts w:ascii="Times New Roman" w:hAnsi="Times New Roman"/>
          <w:sz w:val="24"/>
          <w:szCs w:val="24"/>
        </w:rPr>
        <w:t xml:space="preserve">includes </w:t>
      </w:r>
      <w:r w:rsidR="002751EA">
        <w:rPr>
          <w:rFonts w:ascii="Times New Roman" w:hAnsi="Times New Roman"/>
          <w:sz w:val="24"/>
          <w:szCs w:val="24"/>
        </w:rPr>
        <w:t xml:space="preserve">tables </w:t>
      </w:r>
      <w:r w:rsidR="005A736C">
        <w:rPr>
          <w:rFonts w:ascii="Times New Roman" w:hAnsi="Times New Roman"/>
          <w:sz w:val="24"/>
          <w:szCs w:val="24"/>
        </w:rPr>
        <w:t>listing</w:t>
      </w:r>
      <w:r w:rsidR="002751EA">
        <w:rPr>
          <w:rFonts w:ascii="Times New Roman" w:hAnsi="Times New Roman"/>
          <w:sz w:val="24"/>
          <w:szCs w:val="24"/>
        </w:rPr>
        <w:t xml:space="preserve"> the aggregation of population and housing for the U.S. every ten year</w:t>
      </w:r>
      <w:r w:rsidR="00364B91">
        <w:rPr>
          <w:rFonts w:ascii="Times New Roman" w:hAnsi="Times New Roman"/>
          <w:sz w:val="24"/>
          <w:szCs w:val="24"/>
        </w:rPr>
        <w:t>s</w:t>
      </w:r>
      <w:r w:rsidR="002751EA">
        <w:rPr>
          <w:rFonts w:ascii="Times New Roman" w:hAnsi="Times New Roman"/>
          <w:sz w:val="24"/>
          <w:szCs w:val="24"/>
        </w:rPr>
        <w:t xml:space="preserve">. The </w:t>
      </w:r>
      <w:r w:rsidR="00B408BF">
        <w:rPr>
          <w:rFonts w:ascii="Times New Roman" w:hAnsi="Times New Roman"/>
          <w:sz w:val="24"/>
          <w:szCs w:val="24"/>
        </w:rPr>
        <w:t xml:space="preserve">2000 </w:t>
      </w:r>
      <w:r w:rsidR="002751EA">
        <w:rPr>
          <w:rFonts w:ascii="Times New Roman" w:hAnsi="Times New Roman"/>
          <w:sz w:val="24"/>
          <w:szCs w:val="24"/>
        </w:rPr>
        <w:t xml:space="preserve">census data </w:t>
      </w:r>
      <w:r w:rsidR="00B408BF">
        <w:rPr>
          <w:rFonts w:ascii="Times New Roman" w:hAnsi="Times New Roman"/>
          <w:sz w:val="24"/>
          <w:szCs w:val="24"/>
        </w:rPr>
        <w:t>was used in this study.</w:t>
      </w:r>
    </w:p>
    <w:p w:rsidR="001F4C67" w:rsidRDefault="001F4C67" w:rsidP="00B7230F">
      <w:pPr>
        <w:spacing w:line="480" w:lineRule="auto"/>
        <w:rPr>
          <w:rFonts w:ascii="Times New Roman" w:hAnsi="Times New Roman"/>
          <w:sz w:val="24"/>
          <w:szCs w:val="24"/>
        </w:rPr>
      </w:pPr>
      <w:r>
        <w:rPr>
          <w:rFonts w:ascii="Times New Roman" w:hAnsi="Times New Roman"/>
          <w:sz w:val="24"/>
          <w:szCs w:val="24"/>
        </w:rPr>
        <w:t>3.4 Assisted Housing Inventory (AHI)</w:t>
      </w:r>
      <w:r w:rsidR="00122B8E">
        <w:rPr>
          <w:rFonts w:ascii="Times New Roman" w:hAnsi="Times New Roman"/>
          <w:sz w:val="24"/>
          <w:szCs w:val="24"/>
        </w:rPr>
        <w:t xml:space="preserve"> for </w:t>
      </w:r>
      <w:r w:rsidR="008C572C">
        <w:rPr>
          <w:rFonts w:ascii="Times New Roman" w:hAnsi="Times New Roman"/>
          <w:sz w:val="24"/>
          <w:szCs w:val="24"/>
        </w:rPr>
        <w:t xml:space="preserve">2010 from the </w:t>
      </w:r>
      <w:proofErr w:type="spellStart"/>
      <w:r w:rsidR="008C572C">
        <w:rPr>
          <w:rFonts w:ascii="Times New Roman" w:hAnsi="Times New Roman"/>
          <w:sz w:val="24"/>
          <w:szCs w:val="24"/>
        </w:rPr>
        <w:t>Shimberg</w:t>
      </w:r>
      <w:proofErr w:type="spellEnd"/>
      <w:r w:rsidR="008C572C">
        <w:rPr>
          <w:rFonts w:ascii="Times New Roman" w:hAnsi="Times New Roman"/>
          <w:sz w:val="24"/>
          <w:szCs w:val="24"/>
        </w:rPr>
        <w:t xml:space="preserve"> C</w:t>
      </w:r>
      <w:r w:rsidR="00122B8E">
        <w:rPr>
          <w:rFonts w:ascii="Times New Roman" w:hAnsi="Times New Roman"/>
          <w:sz w:val="24"/>
          <w:szCs w:val="24"/>
        </w:rPr>
        <w:t xml:space="preserve">enter </w:t>
      </w:r>
      <w:r w:rsidR="008C572C">
        <w:rPr>
          <w:rFonts w:ascii="Times New Roman" w:hAnsi="Times New Roman"/>
          <w:sz w:val="24"/>
          <w:szCs w:val="24"/>
        </w:rPr>
        <w:t xml:space="preserve">for Housing Studies </w:t>
      </w:r>
      <w:r w:rsidR="00122B8E">
        <w:rPr>
          <w:rFonts w:ascii="Times New Roman" w:hAnsi="Times New Roman"/>
          <w:sz w:val="24"/>
          <w:szCs w:val="24"/>
        </w:rPr>
        <w:t>database.</w:t>
      </w:r>
    </w:p>
    <w:p w:rsidR="00EB6D57" w:rsidRDefault="00EB6D57" w:rsidP="00B7230F">
      <w:pPr>
        <w:spacing w:line="480" w:lineRule="auto"/>
        <w:rPr>
          <w:rFonts w:ascii="Times New Roman" w:hAnsi="Times New Roman"/>
          <w:sz w:val="24"/>
          <w:szCs w:val="24"/>
        </w:rPr>
      </w:pPr>
      <w:r>
        <w:rPr>
          <w:rFonts w:ascii="Times New Roman" w:hAnsi="Times New Roman"/>
          <w:sz w:val="24"/>
          <w:szCs w:val="24"/>
        </w:rPr>
        <w:t>3.5 Road and Network data for 2009 obtained from</w:t>
      </w:r>
      <w:r w:rsidR="00B408BF">
        <w:rPr>
          <w:rFonts w:ascii="Times New Roman" w:hAnsi="Times New Roman"/>
          <w:sz w:val="24"/>
          <w:szCs w:val="24"/>
        </w:rPr>
        <w:t xml:space="preserve"> the</w:t>
      </w:r>
      <w:r>
        <w:rPr>
          <w:rFonts w:ascii="Times New Roman" w:hAnsi="Times New Roman"/>
          <w:sz w:val="24"/>
          <w:szCs w:val="24"/>
        </w:rPr>
        <w:t xml:space="preserve"> </w:t>
      </w:r>
      <w:r w:rsidR="008C572C">
        <w:rPr>
          <w:rFonts w:ascii="Times New Roman" w:hAnsi="Times New Roman"/>
          <w:sz w:val="24"/>
          <w:szCs w:val="24"/>
        </w:rPr>
        <w:t xml:space="preserve">Florida Geographic </w:t>
      </w:r>
      <w:r w:rsidR="00B408BF">
        <w:rPr>
          <w:rFonts w:ascii="Times New Roman" w:hAnsi="Times New Roman"/>
          <w:sz w:val="24"/>
          <w:szCs w:val="24"/>
        </w:rPr>
        <w:t>D</w:t>
      </w:r>
      <w:r w:rsidR="008C572C">
        <w:rPr>
          <w:rFonts w:ascii="Times New Roman" w:hAnsi="Times New Roman"/>
          <w:sz w:val="24"/>
          <w:szCs w:val="24"/>
        </w:rPr>
        <w:t>ata Library (</w:t>
      </w:r>
      <w:r>
        <w:rPr>
          <w:rFonts w:ascii="Times New Roman" w:hAnsi="Times New Roman"/>
          <w:sz w:val="24"/>
          <w:szCs w:val="24"/>
        </w:rPr>
        <w:t>FGDL</w:t>
      </w:r>
      <w:r w:rsidR="008C572C">
        <w:rPr>
          <w:rFonts w:ascii="Times New Roman" w:hAnsi="Times New Roman"/>
          <w:sz w:val="24"/>
          <w:szCs w:val="24"/>
        </w:rPr>
        <w:t>)</w:t>
      </w:r>
      <w:r>
        <w:rPr>
          <w:rFonts w:ascii="Times New Roman" w:hAnsi="Times New Roman"/>
          <w:sz w:val="24"/>
          <w:szCs w:val="24"/>
        </w:rPr>
        <w:t xml:space="preserve">. </w:t>
      </w:r>
    </w:p>
    <w:p w:rsidR="00E90750" w:rsidRPr="001E15A7" w:rsidRDefault="00E90750" w:rsidP="00B7230F">
      <w:pPr>
        <w:spacing w:line="480" w:lineRule="auto"/>
        <w:rPr>
          <w:rFonts w:ascii="Times New Roman" w:hAnsi="Times New Roman"/>
          <w:b/>
          <w:sz w:val="24"/>
          <w:szCs w:val="24"/>
        </w:rPr>
      </w:pPr>
      <w:r w:rsidRPr="001E15A7">
        <w:rPr>
          <w:rFonts w:ascii="Times New Roman" w:hAnsi="Times New Roman"/>
          <w:b/>
          <w:sz w:val="24"/>
          <w:szCs w:val="24"/>
        </w:rPr>
        <w:t xml:space="preserve">4 </w:t>
      </w:r>
      <w:proofErr w:type="gramStart"/>
      <w:r w:rsidR="00D3374F" w:rsidRPr="001E15A7">
        <w:rPr>
          <w:rFonts w:ascii="Times New Roman" w:hAnsi="Times New Roman"/>
          <w:b/>
          <w:sz w:val="24"/>
          <w:szCs w:val="24"/>
        </w:rPr>
        <w:t>Methodolog</w:t>
      </w:r>
      <w:r w:rsidR="00960804">
        <w:rPr>
          <w:rFonts w:ascii="Times New Roman" w:hAnsi="Times New Roman"/>
          <w:b/>
          <w:sz w:val="24"/>
          <w:szCs w:val="24"/>
        </w:rPr>
        <w:t>y</w:t>
      </w:r>
      <w:proofErr w:type="gramEnd"/>
    </w:p>
    <w:p w:rsidR="00995477" w:rsidRDefault="0063367A" w:rsidP="00995477">
      <w:pPr>
        <w:spacing w:line="480" w:lineRule="auto"/>
        <w:rPr>
          <w:rFonts w:ascii="Times New Roman" w:hAnsi="Times New Roman"/>
          <w:sz w:val="24"/>
          <w:szCs w:val="24"/>
        </w:rPr>
      </w:pPr>
      <w:r>
        <w:rPr>
          <w:rFonts w:ascii="Times New Roman" w:hAnsi="Times New Roman"/>
          <w:sz w:val="24"/>
          <w:szCs w:val="24"/>
        </w:rPr>
        <w:t xml:space="preserve">4.1 </w:t>
      </w:r>
      <w:r w:rsidR="0047124F">
        <w:rPr>
          <w:rFonts w:ascii="Times New Roman" w:hAnsi="Times New Roman"/>
          <w:sz w:val="24"/>
          <w:szCs w:val="24"/>
        </w:rPr>
        <w:t>Mapping p</w:t>
      </w:r>
      <w:r w:rsidR="00122B8E">
        <w:rPr>
          <w:rFonts w:ascii="Times New Roman" w:hAnsi="Times New Roman"/>
          <w:sz w:val="24"/>
          <w:szCs w:val="24"/>
        </w:rPr>
        <w:t>arcel</w:t>
      </w:r>
      <w:r w:rsidR="00AF4660">
        <w:rPr>
          <w:rFonts w:ascii="Times New Roman" w:hAnsi="Times New Roman"/>
          <w:sz w:val="24"/>
          <w:szCs w:val="24"/>
        </w:rPr>
        <w:t>-</w:t>
      </w:r>
      <w:r w:rsidR="00122B8E">
        <w:rPr>
          <w:rFonts w:ascii="Times New Roman" w:hAnsi="Times New Roman"/>
          <w:sz w:val="24"/>
          <w:szCs w:val="24"/>
        </w:rPr>
        <w:t>level employment</w:t>
      </w:r>
    </w:p>
    <w:p w:rsidR="00ED474D" w:rsidRPr="00995477" w:rsidRDefault="0047124F" w:rsidP="00476206">
      <w:pPr>
        <w:spacing w:line="480" w:lineRule="auto"/>
        <w:ind w:firstLine="720"/>
        <w:rPr>
          <w:rFonts w:ascii="Times New Roman" w:hAnsi="Times New Roman"/>
          <w:sz w:val="24"/>
          <w:szCs w:val="24"/>
        </w:rPr>
      </w:pPr>
      <w:r>
        <w:rPr>
          <w:rFonts w:ascii="Times New Roman" w:hAnsi="Times New Roman"/>
          <w:sz w:val="24"/>
          <w:szCs w:val="24"/>
        </w:rPr>
        <w:lastRenderedPageBreak/>
        <w:t xml:space="preserve">The methodology </w:t>
      </w:r>
      <w:r w:rsidR="005548B7">
        <w:rPr>
          <w:rFonts w:ascii="Times New Roman" w:hAnsi="Times New Roman"/>
          <w:sz w:val="24"/>
          <w:szCs w:val="24"/>
        </w:rPr>
        <w:t xml:space="preserve">for </w:t>
      </w:r>
      <w:r w:rsidR="00960804">
        <w:rPr>
          <w:rFonts w:ascii="Times New Roman" w:hAnsi="Times New Roman"/>
          <w:sz w:val="24"/>
          <w:szCs w:val="24"/>
        </w:rPr>
        <w:t xml:space="preserve">determining </w:t>
      </w:r>
      <w:r w:rsidR="004A7481">
        <w:rPr>
          <w:rFonts w:ascii="Times New Roman" w:hAnsi="Times New Roman"/>
          <w:sz w:val="24"/>
          <w:szCs w:val="24"/>
        </w:rPr>
        <w:t>parcel</w:t>
      </w:r>
      <w:r w:rsidR="005548B7">
        <w:rPr>
          <w:rFonts w:ascii="Times New Roman" w:hAnsi="Times New Roman"/>
          <w:sz w:val="24"/>
          <w:szCs w:val="24"/>
        </w:rPr>
        <w:t>-</w:t>
      </w:r>
      <w:r w:rsidR="004A7481">
        <w:rPr>
          <w:rFonts w:ascii="Times New Roman" w:hAnsi="Times New Roman"/>
          <w:sz w:val="24"/>
          <w:szCs w:val="24"/>
        </w:rPr>
        <w:t xml:space="preserve">level employment </w:t>
      </w:r>
      <w:r w:rsidR="00E1467B" w:rsidRPr="00995477">
        <w:rPr>
          <w:rFonts w:ascii="Times New Roman" w:hAnsi="Times New Roman"/>
          <w:sz w:val="24"/>
          <w:szCs w:val="24"/>
        </w:rPr>
        <w:t>play</w:t>
      </w:r>
      <w:r w:rsidR="00960804">
        <w:rPr>
          <w:rFonts w:ascii="Times New Roman" w:hAnsi="Times New Roman"/>
          <w:sz w:val="24"/>
          <w:szCs w:val="24"/>
        </w:rPr>
        <w:t>ed</w:t>
      </w:r>
      <w:r w:rsidR="00E1467B" w:rsidRPr="00995477">
        <w:rPr>
          <w:rFonts w:ascii="Times New Roman" w:hAnsi="Times New Roman"/>
          <w:sz w:val="24"/>
          <w:szCs w:val="24"/>
        </w:rPr>
        <w:t xml:space="preserve"> an importan</w:t>
      </w:r>
      <w:r w:rsidR="001E208B" w:rsidRPr="00995477">
        <w:rPr>
          <w:rFonts w:ascii="Times New Roman" w:hAnsi="Times New Roman"/>
          <w:sz w:val="24"/>
          <w:szCs w:val="24"/>
        </w:rPr>
        <w:t>t</w:t>
      </w:r>
      <w:r w:rsidR="00E1467B" w:rsidRPr="00995477">
        <w:rPr>
          <w:rFonts w:ascii="Times New Roman" w:hAnsi="Times New Roman"/>
          <w:sz w:val="24"/>
          <w:szCs w:val="24"/>
        </w:rPr>
        <w:t xml:space="preserve"> </w:t>
      </w:r>
      <w:r w:rsidR="00A23356" w:rsidRPr="00995477">
        <w:rPr>
          <w:rFonts w:ascii="Times New Roman" w:hAnsi="Times New Roman"/>
          <w:sz w:val="24"/>
          <w:szCs w:val="24"/>
        </w:rPr>
        <w:t xml:space="preserve">role </w:t>
      </w:r>
      <w:r w:rsidR="00960804">
        <w:rPr>
          <w:rFonts w:ascii="Times New Roman" w:hAnsi="Times New Roman"/>
          <w:sz w:val="24"/>
          <w:szCs w:val="24"/>
        </w:rPr>
        <w:t>in this study</w:t>
      </w:r>
      <w:r w:rsidR="00D4310A">
        <w:rPr>
          <w:rFonts w:ascii="Times New Roman" w:hAnsi="Times New Roman"/>
          <w:sz w:val="24"/>
          <w:szCs w:val="24"/>
        </w:rPr>
        <w:t>, especially</w:t>
      </w:r>
      <w:r w:rsidR="00960804">
        <w:rPr>
          <w:rFonts w:ascii="Times New Roman" w:hAnsi="Times New Roman"/>
          <w:sz w:val="24"/>
          <w:szCs w:val="24"/>
        </w:rPr>
        <w:t xml:space="preserve"> </w:t>
      </w:r>
      <w:r w:rsidR="00E1467B" w:rsidRPr="00995477">
        <w:rPr>
          <w:rFonts w:ascii="Times New Roman" w:hAnsi="Times New Roman"/>
          <w:sz w:val="24"/>
          <w:szCs w:val="24"/>
        </w:rPr>
        <w:t xml:space="preserve">in </w:t>
      </w:r>
      <w:r w:rsidR="00D4310A">
        <w:rPr>
          <w:rFonts w:ascii="Times New Roman" w:hAnsi="Times New Roman"/>
          <w:sz w:val="24"/>
          <w:szCs w:val="24"/>
        </w:rPr>
        <w:t xml:space="preserve">the </w:t>
      </w:r>
      <w:r w:rsidR="00E1467B" w:rsidRPr="00995477">
        <w:rPr>
          <w:rFonts w:ascii="Times New Roman" w:hAnsi="Times New Roman"/>
          <w:sz w:val="24"/>
          <w:szCs w:val="24"/>
        </w:rPr>
        <w:t>incorporati</w:t>
      </w:r>
      <w:r w:rsidR="00D4310A">
        <w:rPr>
          <w:rFonts w:ascii="Times New Roman" w:hAnsi="Times New Roman"/>
          <w:sz w:val="24"/>
          <w:szCs w:val="24"/>
        </w:rPr>
        <w:t>on</w:t>
      </w:r>
      <w:r w:rsidR="00E1467B" w:rsidRPr="00995477">
        <w:rPr>
          <w:rFonts w:ascii="Times New Roman" w:hAnsi="Times New Roman"/>
          <w:sz w:val="24"/>
          <w:szCs w:val="24"/>
        </w:rPr>
        <w:t xml:space="preserve"> </w:t>
      </w:r>
      <w:r w:rsidR="00D4310A">
        <w:rPr>
          <w:rFonts w:ascii="Times New Roman" w:hAnsi="Times New Roman"/>
          <w:sz w:val="24"/>
          <w:szCs w:val="24"/>
        </w:rPr>
        <w:t>of</w:t>
      </w:r>
      <w:r w:rsidR="00D4310A" w:rsidRPr="00995477">
        <w:rPr>
          <w:rFonts w:ascii="Times New Roman" w:hAnsi="Times New Roman"/>
          <w:sz w:val="24"/>
          <w:szCs w:val="24"/>
        </w:rPr>
        <w:t xml:space="preserve"> </w:t>
      </w:r>
      <w:r w:rsidR="00E1467B" w:rsidRPr="00995477">
        <w:rPr>
          <w:rFonts w:ascii="Times New Roman" w:hAnsi="Times New Roman"/>
          <w:sz w:val="24"/>
          <w:szCs w:val="24"/>
        </w:rPr>
        <w:t xml:space="preserve">socio-economic characteristics </w:t>
      </w:r>
      <w:r w:rsidR="00D4310A">
        <w:rPr>
          <w:rFonts w:ascii="Times New Roman" w:hAnsi="Times New Roman"/>
          <w:sz w:val="24"/>
          <w:szCs w:val="24"/>
        </w:rPr>
        <w:t xml:space="preserve">from the </w:t>
      </w:r>
      <w:r w:rsidR="00E1467B" w:rsidRPr="00995477">
        <w:rPr>
          <w:rFonts w:ascii="Times New Roman" w:hAnsi="Times New Roman"/>
          <w:sz w:val="24"/>
          <w:szCs w:val="24"/>
        </w:rPr>
        <w:t xml:space="preserve">census </w:t>
      </w:r>
      <w:r w:rsidR="00ED474D" w:rsidRPr="00995477">
        <w:rPr>
          <w:rFonts w:ascii="Times New Roman" w:hAnsi="Times New Roman"/>
          <w:sz w:val="24"/>
          <w:szCs w:val="24"/>
        </w:rPr>
        <w:t xml:space="preserve">data </w:t>
      </w:r>
      <w:r w:rsidR="00D4310A">
        <w:rPr>
          <w:rFonts w:ascii="Times New Roman" w:hAnsi="Times New Roman"/>
          <w:sz w:val="24"/>
          <w:szCs w:val="24"/>
        </w:rPr>
        <w:t>at</w:t>
      </w:r>
      <w:r w:rsidR="00D4310A" w:rsidRPr="00995477">
        <w:rPr>
          <w:rFonts w:ascii="Times New Roman" w:hAnsi="Times New Roman"/>
          <w:sz w:val="24"/>
          <w:szCs w:val="24"/>
        </w:rPr>
        <w:t xml:space="preserve"> </w:t>
      </w:r>
      <w:r w:rsidR="00D4310A">
        <w:rPr>
          <w:rFonts w:ascii="Times New Roman" w:hAnsi="Times New Roman"/>
          <w:sz w:val="24"/>
          <w:szCs w:val="24"/>
        </w:rPr>
        <w:t xml:space="preserve">a </w:t>
      </w:r>
      <w:r w:rsidR="00E1467B" w:rsidRPr="00995477">
        <w:rPr>
          <w:rFonts w:ascii="Times New Roman" w:hAnsi="Times New Roman"/>
          <w:sz w:val="24"/>
          <w:szCs w:val="24"/>
        </w:rPr>
        <w:t>parcel</w:t>
      </w:r>
      <w:r w:rsidR="00D4310A">
        <w:rPr>
          <w:rFonts w:ascii="Times New Roman" w:hAnsi="Times New Roman"/>
          <w:sz w:val="24"/>
          <w:szCs w:val="24"/>
        </w:rPr>
        <w:t>-</w:t>
      </w:r>
      <w:r w:rsidR="00E1467B" w:rsidRPr="00995477">
        <w:rPr>
          <w:rFonts w:ascii="Times New Roman" w:hAnsi="Times New Roman"/>
          <w:sz w:val="24"/>
          <w:szCs w:val="24"/>
        </w:rPr>
        <w:t>level</w:t>
      </w:r>
      <w:r w:rsidR="00D4310A">
        <w:rPr>
          <w:rFonts w:ascii="Times New Roman" w:hAnsi="Times New Roman"/>
          <w:sz w:val="24"/>
          <w:szCs w:val="24"/>
        </w:rPr>
        <w:t xml:space="preserve"> scale</w:t>
      </w:r>
      <w:r w:rsidR="00E1467B" w:rsidRPr="00995477">
        <w:rPr>
          <w:rFonts w:ascii="Times New Roman" w:hAnsi="Times New Roman"/>
          <w:sz w:val="24"/>
          <w:szCs w:val="24"/>
        </w:rPr>
        <w:t>.</w:t>
      </w:r>
      <w:r w:rsidR="00ED474D" w:rsidRPr="00995477">
        <w:rPr>
          <w:rFonts w:ascii="Times New Roman" w:hAnsi="Times New Roman"/>
          <w:sz w:val="24"/>
          <w:szCs w:val="24"/>
        </w:rPr>
        <w:t xml:space="preserve"> QWI data were divided into two groups by</w:t>
      </w:r>
      <w:r w:rsidR="00011AA0">
        <w:rPr>
          <w:rFonts w:ascii="Times New Roman" w:hAnsi="Times New Roman"/>
          <w:sz w:val="24"/>
          <w:szCs w:val="24"/>
        </w:rPr>
        <w:t xml:space="preserve"> North American Industry Classification System</w:t>
      </w:r>
      <w:r w:rsidR="00ED474D" w:rsidRPr="00995477">
        <w:rPr>
          <w:rFonts w:ascii="Times New Roman" w:hAnsi="Times New Roman"/>
          <w:sz w:val="24"/>
          <w:szCs w:val="24"/>
        </w:rPr>
        <w:t xml:space="preserve"> </w:t>
      </w:r>
      <w:r w:rsidR="00011AA0">
        <w:rPr>
          <w:rFonts w:ascii="Times New Roman" w:hAnsi="Times New Roman"/>
          <w:sz w:val="24"/>
          <w:szCs w:val="24"/>
        </w:rPr>
        <w:t>(</w:t>
      </w:r>
      <w:r w:rsidR="00ED474D" w:rsidRPr="00995477">
        <w:rPr>
          <w:rFonts w:ascii="Times New Roman" w:hAnsi="Times New Roman"/>
          <w:sz w:val="24"/>
          <w:szCs w:val="24"/>
        </w:rPr>
        <w:t>NAICS</w:t>
      </w:r>
      <w:r w:rsidR="00011AA0">
        <w:rPr>
          <w:rFonts w:ascii="Times New Roman" w:hAnsi="Times New Roman"/>
          <w:sz w:val="24"/>
          <w:szCs w:val="24"/>
        </w:rPr>
        <w:t>)</w:t>
      </w:r>
      <w:r w:rsidR="00ED474D" w:rsidRPr="00995477">
        <w:rPr>
          <w:rFonts w:ascii="Times New Roman" w:hAnsi="Times New Roman"/>
          <w:sz w:val="24"/>
          <w:szCs w:val="24"/>
        </w:rPr>
        <w:t xml:space="preserve"> sectors </w:t>
      </w:r>
      <w:r w:rsidR="00DF18C1" w:rsidRPr="00995477">
        <w:rPr>
          <w:rFonts w:ascii="Times New Roman" w:hAnsi="Times New Roman"/>
          <w:sz w:val="24"/>
          <w:szCs w:val="24"/>
        </w:rPr>
        <w:t>of land</w:t>
      </w:r>
      <w:r w:rsidR="00ED474D" w:rsidRPr="00995477">
        <w:rPr>
          <w:rFonts w:ascii="Times New Roman" w:hAnsi="Times New Roman"/>
          <w:sz w:val="24"/>
          <w:szCs w:val="24"/>
        </w:rPr>
        <w:t xml:space="preserve"> area and living area. After summariz</w:t>
      </w:r>
      <w:r w:rsidR="00DF18C1" w:rsidRPr="00995477">
        <w:rPr>
          <w:rFonts w:ascii="Times New Roman" w:hAnsi="Times New Roman"/>
          <w:sz w:val="24"/>
          <w:szCs w:val="24"/>
        </w:rPr>
        <w:t>ing</w:t>
      </w:r>
      <w:r w:rsidR="00ED474D" w:rsidRPr="00995477">
        <w:rPr>
          <w:rFonts w:ascii="Times New Roman" w:hAnsi="Times New Roman"/>
          <w:sz w:val="24"/>
          <w:szCs w:val="24"/>
        </w:rPr>
        <w:t xml:space="preserve"> the total areas by </w:t>
      </w:r>
      <w:r w:rsidR="00011AA0">
        <w:rPr>
          <w:rFonts w:ascii="Times New Roman" w:hAnsi="Times New Roman"/>
          <w:sz w:val="24"/>
          <w:szCs w:val="24"/>
        </w:rPr>
        <w:t xml:space="preserve">census </w:t>
      </w:r>
      <w:r w:rsidR="00ED474D" w:rsidRPr="00995477">
        <w:rPr>
          <w:rFonts w:ascii="Times New Roman" w:hAnsi="Times New Roman"/>
          <w:sz w:val="24"/>
          <w:szCs w:val="24"/>
        </w:rPr>
        <w:t xml:space="preserve">block and </w:t>
      </w:r>
      <w:r w:rsidR="00DF18C1" w:rsidRPr="00995477">
        <w:rPr>
          <w:rFonts w:ascii="Times New Roman" w:hAnsi="Times New Roman"/>
          <w:sz w:val="24"/>
          <w:szCs w:val="24"/>
        </w:rPr>
        <w:t>land use</w:t>
      </w:r>
      <w:r w:rsidR="00A73585">
        <w:rPr>
          <w:rFonts w:ascii="Times New Roman" w:hAnsi="Times New Roman"/>
          <w:sz w:val="24"/>
          <w:szCs w:val="24"/>
        </w:rPr>
        <w:t xml:space="preserve">, the density of employees by industrial sector </w:t>
      </w:r>
      <w:r w:rsidR="00FA4EA7">
        <w:rPr>
          <w:rFonts w:ascii="Times New Roman" w:hAnsi="Times New Roman"/>
          <w:sz w:val="24"/>
          <w:szCs w:val="24"/>
        </w:rPr>
        <w:t>was calculated for each block</w:t>
      </w:r>
      <w:r w:rsidR="00ED474D" w:rsidRPr="00995477">
        <w:rPr>
          <w:rFonts w:ascii="Times New Roman" w:hAnsi="Times New Roman"/>
          <w:sz w:val="24"/>
          <w:szCs w:val="24"/>
        </w:rPr>
        <w:t>.</w:t>
      </w:r>
      <w:r w:rsidR="00A73585">
        <w:rPr>
          <w:rFonts w:ascii="Times New Roman" w:hAnsi="Times New Roman"/>
          <w:sz w:val="24"/>
          <w:szCs w:val="24"/>
        </w:rPr>
        <w:t xml:space="preserve"> Block group-level employee densities by industrial sector were then assigned to property parcels using multipliers from a cross-tabulation methodology.</w:t>
      </w:r>
    </w:p>
    <w:p w:rsidR="006C22EE" w:rsidRDefault="0063367A" w:rsidP="00B7230F">
      <w:pPr>
        <w:spacing w:line="480" w:lineRule="auto"/>
        <w:rPr>
          <w:rFonts w:ascii="Times New Roman" w:hAnsi="Times New Roman"/>
          <w:sz w:val="24"/>
          <w:szCs w:val="24"/>
        </w:rPr>
      </w:pPr>
      <w:r>
        <w:rPr>
          <w:rFonts w:ascii="Times New Roman" w:hAnsi="Times New Roman"/>
          <w:sz w:val="24"/>
          <w:szCs w:val="24"/>
        </w:rPr>
        <w:t>4.2 O</w:t>
      </w:r>
      <w:r w:rsidR="001E208B">
        <w:rPr>
          <w:rFonts w:ascii="Times New Roman" w:hAnsi="Times New Roman"/>
          <w:sz w:val="24"/>
          <w:szCs w:val="24"/>
        </w:rPr>
        <w:t>rigin-Destination (OD)</w:t>
      </w:r>
      <w:r>
        <w:rPr>
          <w:rFonts w:ascii="Times New Roman" w:hAnsi="Times New Roman"/>
          <w:sz w:val="24"/>
          <w:szCs w:val="24"/>
        </w:rPr>
        <w:t xml:space="preserve"> </w:t>
      </w:r>
      <w:r w:rsidR="0045081A">
        <w:rPr>
          <w:rFonts w:ascii="Times New Roman" w:hAnsi="Times New Roman"/>
          <w:sz w:val="24"/>
          <w:szCs w:val="24"/>
        </w:rPr>
        <w:t xml:space="preserve">cost matrix </w:t>
      </w:r>
      <w:r>
        <w:rPr>
          <w:rFonts w:ascii="Times New Roman" w:hAnsi="Times New Roman"/>
          <w:sz w:val="24"/>
          <w:szCs w:val="24"/>
        </w:rPr>
        <w:t xml:space="preserve">analysis </w:t>
      </w:r>
    </w:p>
    <w:p w:rsidR="0045081A" w:rsidRPr="0045081A" w:rsidRDefault="0045081A" w:rsidP="003B7C1A">
      <w:pPr>
        <w:spacing w:line="480" w:lineRule="auto"/>
        <w:ind w:firstLine="720"/>
        <w:rPr>
          <w:rFonts w:ascii="Times New Roman" w:hAnsi="Times New Roman"/>
          <w:sz w:val="24"/>
          <w:szCs w:val="24"/>
        </w:rPr>
      </w:pPr>
      <w:r>
        <w:rPr>
          <w:rFonts w:ascii="Times New Roman" w:hAnsi="Times New Roman"/>
          <w:sz w:val="24"/>
          <w:szCs w:val="24"/>
        </w:rPr>
        <w:t xml:space="preserve">The Network Analyst </w:t>
      </w:r>
      <w:r w:rsidR="0080610D">
        <w:rPr>
          <w:rFonts w:ascii="Times New Roman" w:hAnsi="Times New Roman"/>
          <w:sz w:val="24"/>
          <w:szCs w:val="24"/>
        </w:rPr>
        <w:t xml:space="preserve">tool </w:t>
      </w:r>
      <w:r>
        <w:rPr>
          <w:rFonts w:ascii="Times New Roman" w:hAnsi="Times New Roman"/>
          <w:sz w:val="24"/>
          <w:szCs w:val="24"/>
        </w:rPr>
        <w:t xml:space="preserve">in </w:t>
      </w:r>
      <w:proofErr w:type="spellStart"/>
      <w:r>
        <w:rPr>
          <w:rFonts w:ascii="Times New Roman" w:hAnsi="Times New Roman"/>
          <w:sz w:val="24"/>
          <w:szCs w:val="24"/>
        </w:rPr>
        <w:t>ArcGIS</w:t>
      </w:r>
      <w:proofErr w:type="spellEnd"/>
      <w:r>
        <w:rPr>
          <w:rFonts w:ascii="Times New Roman" w:hAnsi="Times New Roman"/>
          <w:sz w:val="24"/>
          <w:szCs w:val="24"/>
        </w:rPr>
        <w:t xml:space="preserve"> 10 provides this advanced analysis matrix</w:t>
      </w:r>
      <w:r w:rsidR="00731305">
        <w:rPr>
          <w:rFonts w:ascii="Times New Roman" w:hAnsi="Times New Roman"/>
          <w:sz w:val="24"/>
          <w:szCs w:val="24"/>
        </w:rPr>
        <w:t>.</w:t>
      </w:r>
      <w:r>
        <w:rPr>
          <w:rFonts w:ascii="Times New Roman" w:hAnsi="Times New Roman"/>
          <w:sz w:val="24"/>
          <w:szCs w:val="24"/>
        </w:rPr>
        <w:t xml:space="preserve"> The</w:t>
      </w:r>
      <w:r w:rsidRPr="0045081A">
        <w:rPr>
          <w:rFonts w:ascii="Times New Roman" w:hAnsi="Times New Roman"/>
          <w:sz w:val="24"/>
          <w:szCs w:val="24"/>
        </w:rPr>
        <w:t xml:space="preserve"> OD cost matrix finds and measures the least-cost paths along the network from multiple origins to multiple destinations. When configuring an OD cost matrix analysis, the number of destinations </w:t>
      </w:r>
      <w:r w:rsidR="00E71F13">
        <w:rPr>
          <w:rFonts w:ascii="Times New Roman" w:hAnsi="Times New Roman"/>
          <w:sz w:val="24"/>
          <w:szCs w:val="24"/>
        </w:rPr>
        <w:t xml:space="preserve">to be found </w:t>
      </w:r>
      <w:r>
        <w:rPr>
          <w:rFonts w:ascii="Times New Roman" w:hAnsi="Times New Roman"/>
          <w:sz w:val="24"/>
          <w:szCs w:val="24"/>
        </w:rPr>
        <w:t>can be specified</w:t>
      </w:r>
      <w:r w:rsidRPr="0045081A">
        <w:rPr>
          <w:rFonts w:ascii="Times New Roman" w:hAnsi="Times New Roman"/>
          <w:sz w:val="24"/>
          <w:szCs w:val="24"/>
        </w:rPr>
        <w:t xml:space="preserve"> and a maximum distance to search</w:t>
      </w:r>
      <w:r w:rsidR="00E71F13">
        <w:rPr>
          <w:rFonts w:ascii="Times New Roman" w:hAnsi="Times New Roman"/>
          <w:sz w:val="24"/>
          <w:szCs w:val="24"/>
        </w:rPr>
        <w:t xml:space="preserve"> can be set</w:t>
      </w:r>
      <w:r w:rsidRPr="0045081A">
        <w:rPr>
          <w:rFonts w:ascii="Times New Roman" w:hAnsi="Times New Roman"/>
          <w:sz w:val="24"/>
          <w:szCs w:val="24"/>
        </w:rPr>
        <w:t>.</w:t>
      </w:r>
      <w:r w:rsidR="00731305">
        <w:rPr>
          <w:rFonts w:ascii="Times New Roman" w:hAnsi="Times New Roman"/>
          <w:sz w:val="24"/>
          <w:szCs w:val="24"/>
        </w:rPr>
        <w:t xml:space="preserve"> </w:t>
      </w:r>
    </w:p>
    <w:p w:rsidR="00B74E4D" w:rsidRDefault="00E9167C" w:rsidP="003B7C1A">
      <w:pPr>
        <w:spacing w:line="480" w:lineRule="auto"/>
        <w:ind w:firstLine="720"/>
        <w:rPr>
          <w:rFonts w:ascii="Times New Roman" w:hAnsi="Times New Roman"/>
          <w:sz w:val="24"/>
          <w:szCs w:val="24"/>
        </w:rPr>
      </w:pPr>
      <w:r>
        <w:rPr>
          <w:rFonts w:ascii="Times New Roman" w:hAnsi="Times New Roman"/>
          <w:sz w:val="24"/>
          <w:szCs w:val="24"/>
        </w:rPr>
        <w:t>Five thousand</w:t>
      </w:r>
      <w:r w:rsidR="00B74E4D">
        <w:rPr>
          <w:rFonts w:ascii="Times New Roman" w:hAnsi="Times New Roman"/>
          <w:sz w:val="24"/>
          <w:szCs w:val="24"/>
        </w:rPr>
        <w:t xml:space="preserve"> random points were created in the county</w:t>
      </w:r>
      <w:r w:rsidR="00E54258">
        <w:rPr>
          <w:rFonts w:ascii="Times New Roman" w:hAnsi="Times New Roman"/>
          <w:sz w:val="24"/>
          <w:szCs w:val="24"/>
        </w:rPr>
        <w:t xml:space="preserve"> in this study</w:t>
      </w:r>
      <w:r w:rsidR="00DF18C1">
        <w:rPr>
          <w:rFonts w:ascii="Times New Roman" w:hAnsi="Times New Roman"/>
          <w:sz w:val="24"/>
          <w:szCs w:val="24"/>
        </w:rPr>
        <w:t>. The</w:t>
      </w:r>
      <w:r w:rsidR="000A141D">
        <w:rPr>
          <w:rFonts w:ascii="Times New Roman" w:hAnsi="Times New Roman"/>
          <w:sz w:val="24"/>
          <w:szCs w:val="24"/>
        </w:rPr>
        <w:t>s</w:t>
      </w:r>
      <w:r w:rsidR="00DF18C1">
        <w:rPr>
          <w:rFonts w:ascii="Times New Roman" w:hAnsi="Times New Roman"/>
          <w:sz w:val="24"/>
          <w:szCs w:val="24"/>
        </w:rPr>
        <w:t xml:space="preserve">e random points </w:t>
      </w:r>
      <w:r w:rsidR="00ED3C19">
        <w:rPr>
          <w:rFonts w:ascii="Times New Roman" w:hAnsi="Times New Roman"/>
          <w:sz w:val="24"/>
          <w:szCs w:val="24"/>
        </w:rPr>
        <w:t>are</w:t>
      </w:r>
      <w:r w:rsidR="00B74E4D">
        <w:rPr>
          <w:rFonts w:ascii="Times New Roman" w:hAnsi="Times New Roman"/>
          <w:sz w:val="24"/>
          <w:szCs w:val="24"/>
        </w:rPr>
        <w:t xml:space="preserve"> the focal points in later steps</w:t>
      </w:r>
      <w:r w:rsidR="00ED3C19">
        <w:rPr>
          <w:rFonts w:ascii="Times New Roman" w:hAnsi="Times New Roman"/>
          <w:sz w:val="24"/>
          <w:szCs w:val="24"/>
        </w:rPr>
        <w:t xml:space="preserve"> of the analysis</w:t>
      </w:r>
      <w:r w:rsidR="00B74E4D">
        <w:rPr>
          <w:rFonts w:ascii="Times New Roman" w:hAnsi="Times New Roman"/>
          <w:sz w:val="24"/>
          <w:szCs w:val="24"/>
        </w:rPr>
        <w:t>. To accomplish further geo</w:t>
      </w:r>
      <w:r w:rsidR="00ED3C19">
        <w:rPr>
          <w:rFonts w:ascii="Times New Roman" w:hAnsi="Times New Roman"/>
          <w:sz w:val="24"/>
          <w:szCs w:val="24"/>
        </w:rPr>
        <w:t>-</w:t>
      </w:r>
      <w:r w:rsidR="00B74E4D">
        <w:rPr>
          <w:rFonts w:ascii="Times New Roman" w:hAnsi="Times New Roman"/>
          <w:sz w:val="24"/>
          <w:szCs w:val="24"/>
        </w:rPr>
        <w:t xml:space="preserve">statistical analyses, the </w:t>
      </w:r>
      <w:r w:rsidR="00E54258">
        <w:rPr>
          <w:rFonts w:ascii="Times New Roman" w:hAnsi="Times New Roman"/>
          <w:sz w:val="24"/>
          <w:szCs w:val="24"/>
        </w:rPr>
        <w:t xml:space="preserve">primary procedure was </w:t>
      </w:r>
      <w:r w:rsidR="00DF18C1">
        <w:rPr>
          <w:rFonts w:ascii="Times New Roman" w:hAnsi="Times New Roman"/>
          <w:sz w:val="24"/>
          <w:szCs w:val="24"/>
        </w:rPr>
        <w:t>to use</w:t>
      </w:r>
      <w:r w:rsidR="00E54258">
        <w:rPr>
          <w:rFonts w:ascii="Times New Roman" w:hAnsi="Times New Roman"/>
          <w:sz w:val="24"/>
          <w:szCs w:val="24"/>
        </w:rPr>
        <w:t xml:space="preserve"> </w:t>
      </w:r>
      <w:r w:rsidR="00ED3C19">
        <w:rPr>
          <w:rFonts w:ascii="Times New Roman" w:hAnsi="Times New Roman"/>
          <w:sz w:val="24"/>
          <w:szCs w:val="24"/>
        </w:rPr>
        <w:t xml:space="preserve">a </w:t>
      </w:r>
      <w:r w:rsidR="00E54258">
        <w:rPr>
          <w:rFonts w:ascii="Times New Roman" w:hAnsi="Times New Roman"/>
          <w:sz w:val="24"/>
          <w:szCs w:val="24"/>
        </w:rPr>
        <w:t xml:space="preserve">moving window analysis </w:t>
      </w:r>
      <w:r>
        <w:rPr>
          <w:rFonts w:ascii="Times New Roman" w:hAnsi="Times New Roman"/>
          <w:sz w:val="24"/>
          <w:szCs w:val="24"/>
        </w:rPr>
        <w:t xml:space="preserve">method by creating a </w:t>
      </w:r>
      <w:r w:rsidR="00B74E4D" w:rsidRPr="00B74E4D">
        <w:rPr>
          <w:rFonts w:ascii="Times New Roman" w:hAnsi="Times New Roman"/>
          <w:sz w:val="24"/>
          <w:szCs w:val="24"/>
        </w:rPr>
        <w:t xml:space="preserve">tool to identify </w:t>
      </w:r>
      <w:r w:rsidR="00B91543">
        <w:rPr>
          <w:rFonts w:ascii="Times New Roman" w:hAnsi="Times New Roman"/>
          <w:sz w:val="24"/>
          <w:szCs w:val="24"/>
        </w:rPr>
        <w:t>a certain network distance</w:t>
      </w:r>
      <w:r>
        <w:rPr>
          <w:rFonts w:ascii="Times New Roman" w:hAnsi="Times New Roman"/>
          <w:sz w:val="24"/>
          <w:szCs w:val="24"/>
        </w:rPr>
        <w:t xml:space="preserve"> buffer </w:t>
      </w:r>
      <w:r w:rsidR="00ED3C19">
        <w:rPr>
          <w:rFonts w:ascii="Times New Roman" w:hAnsi="Times New Roman"/>
          <w:sz w:val="24"/>
          <w:szCs w:val="24"/>
        </w:rPr>
        <w:t>from</w:t>
      </w:r>
      <w:r>
        <w:rPr>
          <w:rFonts w:ascii="Times New Roman" w:hAnsi="Times New Roman"/>
          <w:sz w:val="24"/>
          <w:szCs w:val="24"/>
        </w:rPr>
        <w:t xml:space="preserve"> each focal point</w:t>
      </w:r>
      <w:r w:rsidR="00B91543">
        <w:rPr>
          <w:rFonts w:ascii="Times New Roman" w:hAnsi="Times New Roman"/>
          <w:sz w:val="24"/>
          <w:szCs w:val="24"/>
        </w:rPr>
        <w:t xml:space="preserve"> as </w:t>
      </w:r>
      <w:r w:rsidR="000A141D">
        <w:rPr>
          <w:rFonts w:ascii="Times New Roman" w:hAnsi="Times New Roman"/>
          <w:sz w:val="24"/>
          <w:szCs w:val="24"/>
        </w:rPr>
        <w:t xml:space="preserve">shown </w:t>
      </w:r>
      <w:r w:rsidR="00B82BDC">
        <w:rPr>
          <w:rFonts w:ascii="Times New Roman" w:hAnsi="Times New Roman"/>
          <w:sz w:val="24"/>
          <w:szCs w:val="24"/>
        </w:rPr>
        <w:t xml:space="preserve">in </w:t>
      </w:r>
      <w:r w:rsidR="00ED3C19">
        <w:rPr>
          <w:rFonts w:ascii="Times New Roman" w:hAnsi="Times New Roman"/>
          <w:sz w:val="24"/>
          <w:szCs w:val="24"/>
        </w:rPr>
        <w:t>F</w:t>
      </w:r>
      <w:r w:rsidR="00B82BDC">
        <w:rPr>
          <w:rFonts w:ascii="Times New Roman" w:hAnsi="Times New Roman"/>
          <w:sz w:val="24"/>
          <w:szCs w:val="24"/>
        </w:rPr>
        <w:t>igure</w:t>
      </w:r>
      <w:r w:rsidR="00B91543">
        <w:rPr>
          <w:rFonts w:ascii="Times New Roman" w:hAnsi="Times New Roman"/>
          <w:sz w:val="24"/>
          <w:szCs w:val="24"/>
        </w:rPr>
        <w:t xml:space="preserve"> 4-</w:t>
      </w:r>
      <w:r w:rsidR="00B82BDC">
        <w:rPr>
          <w:rFonts w:ascii="Times New Roman" w:hAnsi="Times New Roman"/>
          <w:sz w:val="24"/>
          <w:szCs w:val="24"/>
        </w:rPr>
        <w:t xml:space="preserve">1. </w:t>
      </w:r>
      <w:r w:rsidR="00E54258">
        <w:rPr>
          <w:rFonts w:ascii="Times New Roman" w:hAnsi="Times New Roman"/>
          <w:sz w:val="24"/>
          <w:szCs w:val="24"/>
        </w:rPr>
        <w:t xml:space="preserve">Three </w:t>
      </w:r>
      <w:r w:rsidR="00B91543">
        <w:rPr>
          <w:rFonts w:ascii="Times New Roman" w:hAnsi="Times New Roman"/>
          <w:sz w:val="24"/>
          <w:szCs w:val="24"/>
        </w:rPr>
        <w:t>network distance buffer</w:t>
      </w:r>
      <w:r w:rsidR="00ED3C19">
        <w:rPr>
          <w:rFonts w:ascii="Times New Roman" w:hAnsi="Times New Roman"/>
          <w:sz w:val="24"/>
          <w:szCs w:val="24"/>
        </w:rPr>
        <w:t>s</w:t>
      </w:r>
      <w:r w:rsidR="00E54258">
        <w:rPr>
          <w:rFonts w:ascii="Times New Roman" w:hAnsi="Times New Roman"/>
          <w:sz w:val="24"/>
          <w:szCs w:val="24"/>
        </w:rPr>
        <w:t xml:space="preserve"> were </w:t>
      </w:r>
      <w:r w:rsidR="00B91543">
        <w:rPr>
          <w:rFonts w:ascii="Times New Roman" w:hAnsi="Times New Roman"/>
          <w:sz w:val="24"/>
          <w:szCs w:val="24"/>
        </w:rPr>
        <w:t>applied</w:t>
      </w:r>
      <w:r w:rsidR="00ED3C19">
        <w:rPr>
          <w:rFonts w:ascii="Times New Roman" w:hAnsi="Times New Roman"/>
          <w:sz w:val="24"/>
          <w:szCs w:val="24"/>
        </w:rPr>
        <w:t>,</w:t>
      </w:r>
      <w:r w:rsidR="00B91543">
        <w:rPr>
          <w:rFonts w:ascii="Times New Roman" w:hAnsi="Times New Roman"/>
          <w:sz w:val="24"/>
          <w:szCs w:val="24"/>
        </w:rPr>
        <w:t xml:space="preserve"> </w:t>
      </w:r>
      <w:r w:rsidR="00E54258">
        <w:rPr>
          <w:rFonts w:ascii="Times New Roman" w:hAnsi="Times New Roman"/>
          <w:sz w:val="24"/>
          <w:szCs w:val="24"/>
        </w:rPr>
        <w:t>based on three different travel modes</w:t>
      </w:r>
      <w:r w:rsidR="00B91543">
        <w:rPr>
          <w:rFonts w:ascii="Times New Roman" w:hAnsi="Times New Roman"/>
          <w:sz w:val="24"/>
          <w:szCs w:val="24"/>
        </w:rPr>
        <w:t xml:space="preserve">. </w:t>
      </w:r>
      <w:r w:rsidR="00E54258">
        <w:rPr>
          <w:rFonts w:ascii="Times New Roman" w:hAnsi="Times New Roman"/>
          <w:sz w:val="24"/>
          <w:szCs w:val="24"/>
        </w:rPr>
        <w:t xml:space="preserve"> </w:t>
      </w:r>
      <w:r w:rsidR="00B91543">
        <w:rPr>
          <w:rFonts w:ascii="Times New Roman" w:hAnsi="Times New Roman"/>
          <w:sz w:val="24"/>
          <w:szCs w:val="24"/>
        </w:rPr>
        <w:t xml:space="preserve">In this study, </w:t>
      </w:r>
      <w:r w:rsidR="00ED3C19">
        <w:rPr>
          <w:rFonts w:ascii="Times New Roman" w:hAnsi="Times New Roman"/>
          <w:sz w:val="24"/>
          <w:szCs w:val="24"/>
        </w:rPr>
        <w:t xml:space="preserve">a </w:t>
      </w:r>
      <w:r w:rsidR="00B91543">
        <w:rPr>
          <w:rFonts w:ascii="Times New Roman" w:hAnsi="Times New Roman"/>
          <w:sz w:val="24"/>
          <w:szCs w:val="24"/>
        </w:rPr>
        <w:t>distance</w:t>
      </w:r>
      <w:r w:rsidR="00E54258">
        <w:rPr>
          <w:rFonts w:ascii="Times New Roman" w:hAnsi="Times New Roman"/>
          <w:sz w:val="24"/>
          <w:szCs w:val="24"/>
        </w:rPr>
        <w:t xml:space="preserve"> </w:t>
      </w:r>
      <w:r w:rsidR="00ED06B5">
        <w:rPr>
          <w:rFonts w:ascii="Times New Roman" w:hAnsi="Times New Roman"/>
          <w:sz w:val="24"/>
          <w:szCs w:val="24"/>
        </w:rPr>
        <w:t xml:space="preserve">of </w:t>
      </w:r>
      <w:r w:rsidR="00E54258">
        <w:rPr>
          <w:rFonts w:ascii="Times New Roman" w:hAnsi="Times New Roman"/>
          <w:sz w:val="24"/>
          <w:szCs w:val="24"/>
        </w:rPr>
        <w:t xml:space="preserve">0.5 mile was </w:t>
      </w:r>
      <w:r w:rsidR="00ED3C19">
        <w:rPr>
          <w:rFonts w:ascii="Times New Roman" w:hAnsi="Times New Roman"/>
          <w:sz w:val="24"/>
          <w:szCs w:val="24"/>
        </w:rPr>
        <w:t xml:space="preserve">considered a </w:t>
      </w:r>
      <w:r w:rsidR="00E54258">
        <w:rPr>
          <w:rFonts w:ascii="Times New Roman" w:hAnsi="Times New Roman"/>
          <w:sz w:val="24"/>
          <w:szCs w:val="24"/>
        </w:rPr>
        <w:t xml:space="preserve">walking distance, 4 miles </w:t>
      </w:r>
      <w:r w:rsidR="00ED3C19">
        <w:rPr>
          <w:rFonts w:ascii="Times New Roman" w:hAnsi="Times New Roman"/>
          <w:sz w:val="24"/>
          <w:szCs w:val="24"/>
        </w:rPr>
        <w:t xml:space="preserve">was a </w:t>
      </w:r>
      <w:r w:rsidR="00E54258">
        <w:rPr>
          <w:rFonts w:ascii="Times New Roman" w:hAnsi="Times New Roman"/>
          <w:sz w:val="24"/>
          <w:szCs w:val="24"/>
        </w:rPr>
        <w:t xml:space="preserve">biking distance, and 10 miles </w:t>
      </w:r>
      <w:r w:rsidR="00ED3C19">
        <w:rPr>
          <w:rFonts w:ascii="Times New Roman" w:hAnsi="Times New Roman"/>
          <w:sz w:val="24"/>
          <w:szCs w:val="24"/>
        </w:rPr>
        <w:t>was a</w:t>
      </w:r>
      <w:r w:rsidR="00E54258">
        <w:rPr>
          <w:rFonts w:ascii="Times New Roman" w:hAnsi="Times New Roman"/>
          <w:sz w:val="24"/>
          <w:szCs w:val="24"/>
        </w:rPr>
        <w:t xml:space="preserve"> driving distance. </w:t>
      </w:r>
    </w:p>
    <w:p w:rsidR="00E94959" w:rsidRDefault="00E94959" w:rsidP="003B7C1A">
      <w:pPr>
        <w:spacing w:line="480" w:lineRule="auto"/>
        <w:ind w:firstLine="720"/>
        <w:rPr>
          <w:rFonts w:ascii="Times New Roman" w:hAnsi="Times New Roman"/>
          <w:sz w:val="24"/>
          <w:szCs w:val="24"/>
        </w:rPr>
      </w:pPr>
    </w:p>
    <w:p w:rsidR="001E15A7" w:rsidRDefault="00917C58" w:rsidP="00B7230F">
      <w:pPr>
        <w:spacing w:after="0" w:line="480" w:lineRule="auto"/>
        <w:rPr>
          <w:rFonts w:ascii="Times New Roman" w:hAnsi="Times New Roman"/>
          <w:sz w:val="24"/>
          <w:szCs w:val="24"/>
        </w:rPr>
      </w:pPr>
      <w:r>
        <w:rPr>
          <w:rFonts w:ascii="Times New Roman" w:hAnsi="Times New Roman"/>
          <w:sz w:val="24"/>
          <w:szCs w:val="24"/>
        </w:rPr>
        <w:lastRenderedPageBreak/>
        <w:t xml:space="preserve">4.4 Comparison of </w:t>
      </w:r>
      <w:r w:rsidR="0063367A">
        <w:rPr>
          <w:rFonts w:ascii="Times New Roman" w:hAnsi="Times New Roman"/>
          <w:sz w:val="24"/>
          <w:szCs w:val="24"/>
        </w:rPr>
        <w:t xml:space="preserve">the </w:t>
      </w:r>
      <w:r>
        <w:rPr>
          <w:rFonts w:ascii="Times New Roman" w:hAnsi="Times New Roman"/>
          <w:sz w:val="24"/>
          <w:szCs w:val="24"/>
        </w:rPr>
        <w:t xml:space="preserve">number </w:t>
      </w:r>
      <w:r w:rsidR="001E15A7">
        <w:rPr>
          <w:rFonts w:ascii="Times New Roman" w:hAnsi="Times New Roman"/>
          <w:sz w:val="24"/>
          <w:szCs w:val="24"/>
        </w:rPr>
        <w:t xml:space="preserve">of </w:t>
      </w:r>
      <w:r w:rsidR="00FA4EA7">
        <w:rPr>
          <w:rFonts w:ascii="Times New Roman" w:hAnsi="Times New Roman"/>
          <w:sz w:val="24"/>
          <w:szCs w:val="24"/>
        </w:rPr>
        <w:t>employees</w:t>
      </w:r>
      <w:r w:rsidR="001E15A7">
        <w:rPr>
          <w:rFonts w:ascii="Times New Roman" w:hAnsi="Times New Roman"/>
          <w:sz w:val="24"/>
          <w:szCs w:val="24"/>
        </w:rPr>
        <w:t xml:space="preserve"> and units of AHI </w:t>
      </w:r>
      <w:r>
        <w:rPr>
          <w:rFonts w:ascii="Times New Roman" w:hAnsi="Times New Roman"/>
          <w:sz w:val="24"/>
          <w:szCs w:val="24"/>
        </w:rPr>
        <w:t>based on</w:t>
      </w:r>
      <w:r w:rsidR="001E15A7">
        <w:rPr>
          <w:rFonts w:ascii="Times New Roman" w:hAnsi="Times New Roman"/>
          <w:sz w:val="24"/>
          <w:szCs w:val="24"/>
        </w:rPr>
        <w:t xml:space="preserve"> </w:t>
      </w:r>
      <w:r w:rsidR="001E2809">
        <w:rPr>
          <w:rFonts w:ascii="Times New Roman" w:hAnsi="Times New Roman"/>
          <w:sz w:val="24"/>
          <w:szCs w:val="24"/>
        </w:rPr>
        <w:t>county averages</w:t>
      </w:r>
    </w:p>
    <w:p w:rsidR="0063367A" w:rsidRDefault="00B7230F" w:rsidP="00D623F8">
      <w:pPr>
        <w:spacing w:after="0" w:line="480" w:lineRule="auto"/>
        <w:rPr>
          <w:rFonts w:ascii="Times New Roman" w:hAnsi="Times New Roman"/>
          <w:sz w:val="24"/>
          <w:szCs w:val="24"/>
        </w:rPr>
      </w:pPr>
      <w:r>
        <w:rPr>
          <w:rFonts w:ascii="Times New Roman" w:hAnsi="Times New Roman"/>
          <w:sz w:val="24"/>
          <w:szCs w:val="24"/>
        </w:rPr>
        <w:t xml:space="preserve">          </w:t>
      </w:r>
      <w:r w:rsidR="00C47209">
        <w:rPr>
          <w:rFonts w:ascii="Times New Roman" w:hAnsi="Times New Roman"/>
          <w:sz w:val="24"/>
          <w:szCs w:val="24"/>
        </w:rPr>
        <w:t>As shown in Figure</w:t>
      </w:r>
      <w:r w:rsidR="00634FD5">
        <w:rPr>
          <w:rFonts w:ascii="Times New Roman" w:hAnsi="Times New Roman"/>
          <w:sz w:val="24"/>
          <w:szCs w:val="24"/>
        </w:rPr>
        <w:t xml:space="preserve"> </w:t>
      </w:r>
      <w:r w:rsidR="00C47209">
        <w:rPr>
          <w:rFonts w:ascii="Times New Roman" w:hAnsi="Times New Roman"/>
          <w:sz w:val="24"/>
          <w:szCs w:val="24"/>
        </w:rPr>
        <w:t xml:space="preserve">4-2, </w:t>
      </w:r>
      <w:r w:rsidR="006D5052">
        <w:rPr>
          <w:rFonts w:ascii="Times New Roman" w:hAnsi="Times New Roman"/>
          <w:sz w:val="24"/>
          <w:szCs w:val="24"/>
        </w:rPr>
        <w:t xml:space="preserve">according to the parcel-level data </w:t>
      </w:r>
      <w:r w:rsidR="00AD624F">
        <w:rPr>
          <w:rFonts w:ascii="Times New Roman" w:hAnsi="Times New Roman"/>
          <w:sz w:val="24"/>
          <w:szCs w:val="24"/>
        </w:rPr>
        <w:t xml:space="preserve">the number of employment opportunities can be captured </w:t>
      </w:r>
      <w:r w:rsidR="00C47209">
        <w:rPr>
          <w:rFonts w:ascii="Times New Roman" w:hAnsi="Times New Roman"/>
          <w:sz w:val="24"/>
          <w:szCs w:val="24"/>
        </w:rPr>
        <w:t>i</w:t>
      </w:r>
      <w:r w:rsidR="006233CE">
        <w:rPr>
          <w:rFonts w:ascii="Times New Roman" w:hAnsi="Times New Roman"/>
          <w:sz w:val="24"/>
          <w:szCs w:val="24"/>
        </w:rPr>
        <w:t xml:space="preserve">n </w:t>
      </w:r>
      <w:r w:rsidR="0035796B">
        <w:rPr>
          <w:rFonts w:ascii="Times New Roman" w:hAnsi="Times New Roman"/>
          <w:sz w:val="24"/>
          <w:szCs w:val="24"/>
        </w:rPr>
        <w:t xml:space="preserve">each </w:t>
      </w:r>
      <w:r>
        <w:rPr>
          <w:rFonts w:ascii="Times New Roman" w:hAnsi="Times New Roman"/>
          <w:sz w:val="24"/>
          <w:szCs w:val="24"/>
        </w:rPr>
        <w:t xml:space="preserve">network distance </w:t>
      </w:r>
      <w:r w:rsidR="006233CE">
        <w:rPr>
          <w:rFonts w:ascii="Times New Roman" w:hAnsi="Times New Roman"/>
          <w:sz w:val="24"/>
          <w:szCs w:val="24"/>
        </w:rPr>
        <w:t xml:space="preserve">buffer </w:t>
      </w:r>
      <w:r w:rsidR="0035796B">
        <w:rPr>
          <w:rFonts w:ascii="Times New Roman" w:hAnsi="Times New Roman"/>
          <w:sz w:val="24"/>
          <w:szCs w:val="24"/>
        </w:rPr>
        <w:t>area</w:t>
      </w:r>
      <w:r w:rsidR="006233CE">
        <w:rPr>
          <w:rFonts w:ascii="Times New Roman" w:hAnsi="Times New Roman"/>
          <w:sz w:val="24"/>
          <w:szCs w:val="24"/>
        </w:rPr>
        <w:t xml:space="preserve"> of the random points</w:t>
      </w:r>
      <w:r w:rsidR="00AD624F">
        <w:rPr>
          <w:rFonts w:ascii="Times New Roman" w:hAnsi="Times New Roman"/>
          <w:sz w:val="24"/>
          <w:szCs w:val="24"/>
        </w:rPr>
        <w:t xml:space="preserve">.  </w:t>
      </w:r>
      <w:r w:rsidR="00C343DD">
        <w:rPr>
          <w:rFonts w:ascii="Times New Roman" w:hAnsi="Times New Roman"/>
          <w:sz w:val="24"/>
          <w:szCs w:val="24"/>
        </w:rPr>
        <w:t>This</w:t>
      </w:r>
      <w:r w:rsidR="00B82BDC">
        <w:rPr>
          <w:rFonts w:ascii="Times New Roman" w:hAnsi="Times New Roman"/>
          <w:sz w:val="24"/>
          <w:szCs w:val="24"/>
        </w:rPr>
        <w:t xml:space="preserve"> </w:t>
      </w:r>
      <w:r w:rsidR="0035796B">
        <w:rPr>
          <w:rFonts w:ascii="Times New Roman" w:hAnsi="Times New Roman"/>
          <w:sz w:val="24"/>
          <w:szCs w:val="24"/>
        </w:rPr>
        <w:t>represents t</w:t>
      </w:r>
      <w:r w:rsidR="006233CE">
        <w:rPr>
          <w:rFonts w:ascii="Times New Roman" w:hAnsi="Times New Roman"/>
          <w:sz w:val="24"/>
          <w:szCs w:val="24"/>
        </w:rPr>
        <w:t>he</w:t>
      </w:r>
      <w:r w:rsidR="00AD624F">
        <w:rPr>
          <w:rFonts w:ascii="Times New Roman" w:hAnsi="Times New Roman"/>
          <w:sz w:val="24"/>
          <w:szCs w:val="24"/>
        </w:rPr>
        <w:t xml:space="preserve"> demand-side</w:t>
      </w:r>
      <w:r w:rsidR="006233CE">
        <w:rPr>
          <w:rFonts w:ascii="Times New Roman" w:hAnsi="Times New Roman"/>
          <w:sz w:val="24"/>
          <w:szCs w:val="24"/>
        </w:rPr>
        <w:t xml:space="preserve"> need </w:t>
      </w:r>
      <w:r w:rsidR="009F542E">
        <w:rPr>
          <w:rFonts w:ascii="Times New Roman" w:hAnsi="Times New Roman"/>
          <w:sz w:val="24"/>
          <w:szCs w:val="24"/>
        </w:rPr>
        <w:t>for</w:t>
      </w:r>
      <w:r w:rsidR="006D5052">
        <w:rPr>
          <w:rFonts w:ascii="Times New Roman" w:hAnsi="Times New Roman"/>
          <w:sz w:val="24"/>
          <w:szCs w:val="24"/>
        </w:rPr>
        <w:t xml:space="preserve"> </w:t>
      </w:r>
      <w:r w:rsidR="006233CE">
        <w:rPr>
          <w:rFonts w:ascii="Times New Roman" w:hAnsi="Times New Roman"/>
          <w:sz w:val="24"/>
          <w:szCs w:val="24"/>
        </w:rPr>
        <w:t>affordable housing</w:t>
      </w:r>
      <w:r w:rsidR="00AD624F">
        <w:rPr>
          <w:rFonts w:ascii="Times New Roman" w:hAnsi="Times New Roman"/>
          <w:sz w:val="24"/>
          <w:szCs w:val="24"/>
        </w:rPr>
        <w:t>. T</w:t>
      </w:r>
      <w:r w:rsidR="00C47209">
        <w:rPr>
          <w:rFonts w:ascii="Times New Roman" w:hAnsi="Times New Roman"/>
          <w:sz w:val="24"/>
          <w:szCs w:val="24"/>
        </w:rPr>
        <w:t xml:space="preserve">he supply-side of housing </w:t>
      </w:r>
      <w:r w:rsidR="00AD624F">
        <w:rPr>
          <w:rFonts w:ascii="Times New Roman" w:hAnsi="Times New Roman"/>
          <w:sz w:val="24"/>
          <w:szCs w:val="24"/>
        </w:rPr>
        <w:t xml:space="preserve">can </w:t>
      </w:r>
      <w:r w:rsidR="006233CE">
        <w:rPr>
          <w:rFonts w:ascii="Times New Roman" w:hAnsi="Times New Roman"/>
          <w:sz w:val="24"/>
          <w:szCs w:val="24"/>
        </w:rPr>
        <w:t>be captured in the area according to</w:t>
      </w:r>
      <w:r w:rsidR="00C47209">
        <w:rPr>
          <w:rFonts w:ascii="Times New Roman" w:hAnsi="Times New Roman"/>
          <w:sz w:val="24"/>
          <w:szCs w:val="24"/>
        </w:rPr>
        <w:t xml:space="preserve"> the information provided by</w:t>
      </w:r>
      <w:r w:rsidR="006233CE">
        <w:rPr>
          <w:rFonts w:ascii="Times New Roman" w:hAnsi="Times New Roman"/>
          <w:sz w:val="24"/>
          <w:szCs w:val="24"/>
        </w:rPr>
        <w:t xml:space="preserve"> </w:t>
      </w:r>
      <w:r w:rsidR="006D5052">
        <w:rPr>
          <w:rFonts w:ascii="Times New Roman" w:hAnsi="Times New Roman"/>
          <w:sz w:val="24"/>
          <w:szCs w:val="24"/>
        </w:rPr>
        <w:t xml:space="preserve">the </w:t>
      </w:r>
      <w:r w:rsidR="006233CE">
        <w:rPr>
          <w:rFonts w:ascii="Times New Roman" w:hAnsi="Times New Roman"/>
          <w:sz w:val="24"/>
          <w:szCs w:val="24"/>
        </w:rPr>
        <w:t>AHI data</w:t>
      </w:r>
      <w:r w:rsidR="00BC2065">
        <w:rPr>
          <w:rFonts w:ascii="Times New Roman" w:hAnsi="Times New Roman"/>
          <w:sz w:val="24"/>
          <w:szCs w:val="24"/>
        </w:rPr>
        <w:t xml:space="preserve"> or tax parcel data </w:t>
      </w:r>
      <w:r w:rsidR="00AD624F">
        <w:rPr>
          <w:rFonts w:ascii="Times New Roman" w:hAnsi="Times New Roman"/>
          <w:sz w:val="24"/>
          <w:szCs w:val="24"/>
        </w:rPr>
        <w:t>for</w:t>
      </w:r>
      <w:r w:rsidR="00BC2065">
        <w:rPr>
          <w:rFonts w:ascii="Times New Roman" w:hAnsi="Times New Roman"/>
          <w:sz w:val="24"/>
          <w:szCs w:val="24"/>
        </w:rPr>
        <w:t xml:space="preserve"> multi-family</w:t>
      </w:r>
      <w:r w:rsidR="00AD624F">
        <w:rPr>
          <w:rFonts w:ascii="Times New Roman" w:hAnsi="Times New Roman"/>
          <w:sz w:val="24"/>
          <w:szCs w:val="24"/>
        </w:rPr>
        <w:t xml:space="preserve"> properties</w:t>
      </w:r>
      <w:r w:rsidR="006233CE">
        <w:rPr>
          <w:rFonts w:ascii="Times New Roman" w:hAnsi="Times New Roman"/>
          <w:sz w:val="24"/>
          <w:szCs w:val="24"/>
        </w:rPr>
        <w:t>.</w:t>
      </w:r>
      <w:r w:rsidR="00D623F8">
        <w:rPr>
          <w:rFonts w:ascii="Times New Roman" w:hAnsi="Times New Roman"/>
          <w:sz w:val="24"/>
          <w:szCs w:val="24"/>
        </w:rPr>
        <w:t xml:space="preserve">  The </w:t>
      </w:r>
      <w:r w:rsidR="00842D45">
        <w:rPr>
          <w:rFonts w:ascii="Times New Roman" w:hAnsi="Times New Roman"/>
          <w:sz w:val="24"/>
          <w:szCs w:val="24"/>
        </w:rPr>
        <w:t xml:space="preserve">estimates of housing </w:t>
      </w:r>
      <w:r w:rsidR="00D623F8">
        <w:rPr>
          <w:rFonts w:ascii="Times New Roman" w:hAnsi="Times New Roman"/>
          <w:sz w:val="24"/>
          <w:szCs w:val="24"/>
        </w:rPr>
        <w:t>supply and demand</w:t>
      </w:r>
      <w:r w:rsidR="00842D45">
        <w:rPr>
          <w:rFonts w:ascii="Times New Roman" w:hAnsi="Times New Roman"/>
          <w:sz w:val="24"/>
          <w:szCs w:val="24"/>
        </w:rPr>
        <w:t xml:space="preserve"> </w:t>
      </w:r>
      <w:r w:rsidR="00D623F8">
        <w:rPr>
          <w:rFonts w:ascii="Times New Roman" w:hAnsi="Times New Roman"/>
          <w:sz w:val="24"/>
          <w:szCs w:val="24"/>
        </w:rPr>
        <w:t>are a</w:t>
      </w:r>
      <w:r w:rsidR="001E15A7">
        <w:rPr>
          <w:rFonts w:ascii="Times New Roman" w:hAnsi="Times New Roman"/>
          <w:sz w:val="24"/>
          <w:szCs w:val="24"/>
        </w:rPr>
        <w:t>ssign</w:t>
      </w:r>
      <w:r w:rsidR="00D623F8">
        <w:rPr>
          <w:rFonts w:ascii="Times New Roman" w:hAnsi="Times New Roman"/>
          <w:sz w:val="24"/>
          <w:szCs w:val="24"/>
        </w:rPr>
        <w:t>ed</w:t>
      </w:r>
      <w:r w:rsidR="001E15A7">
        <w:rPr>
          <w:rFonts w:ascii="Times New Roman" w:hAnsi="Times New Roman"/>
          <w:sz w:val="24"/>
          <w:szCs w:val="24"/>
        </w:rPr>
        <w:t xml:space="preserve"> to the corresponding random points</w:t>
      </w:r>
      <w:r w:rsidR="00D623F8">
        <w:rPr>
          <w:rFonts w:ascii="Times New Roman" w:hAnsi="Times New Roman"/>
          <w:sz w:val="24"/>
          <w:szCs w:val="24"/>
        </w:rPr>
        <w:t xml:space="preserve">. The same analysis is prepared for all the random points. </w:t>
      </w:r>
    </w:p>
    <w:p w:rsidR="006D5052" w:rsidRDefault="006233CE" w:rsidP="003B7C1A">
      <w:pPr>
        <w:spacing w:line="480" w:lineRule="auto"/>
        <w:ind w:firstLine="720"/>
        <w:rPr>
          <w:rFonts w:ascii="Times New Roman" w:hAnsi="Times New Roman"/>
          <w:sz w:val="24"/>
          <w:szCs w:val="24"/>
        </w:rPr>
      </w:pPr>
      <w:r>
        <w:rPr>
          <w:rFonts w:ascii="Times New Roman" w:hAnsi="Times New Roman"/>
          <w:sz w:val="24"/>
          <w:szCs w:val="24"/>
        </w:rPr>
        <w:t xml:space="preserve">In this study, the target </w:t>
      </w:r>
      <w:r w:rsidR="00091467">
        <w:rPr>
          <w:rFonts w:ascii="Times New Roman" w:hAnsi="Times New Roman"/>
          <w:sz w:val="24"/>
          <w:szCs w:val="24"/>
        </w:rPr>
        <w:t>population was</w:t>
      </w:r>
      <w:r>
        <w:rPr>
          <w:rFonts w:ascii="Times New Roman" w:hAnsi="Times New Roman"/>
          <w:sz w:val="24"/>
          <w:szCs w:val="24"/>
        </w:rPr>
        <w:t xml:space="preserve"> </w:t>
      </w:r>
      <w:r w:rsidR="00BC2065">
        <w:rPr>
          <w:rFonts w:ascii="Times New Roman" w:hAnsi="Times New Roman"/>
          <w:sz w:val="24"/>
          <w:szCs w:val="24"/>
        </w:rPr>
        <w:t>divided into</w:t>
      </w:r>
      <w:r w:rsidR="00091467">
        <w:rPr>
          <w:rFonts w:ascii="Times New Roman" w:hAnsi="Times New Roman"/>
          <w:sz w:val="24"/>
          <w:szCs w:val="24"/>
        </w:rPr>
        <w:t xml:space="preserve"> two groups. One was </w:t>
      </w:r>
      <w:r w:rsidR="00D9326B">
        <w:rPr>
          <w:rFonts w:ascii="Times New Roman" w:hAnsi="Times New Roman"/>
          <w:sz w:val="24"/>
          <w:szCs w:val="24"/>
        </w:rPr>
        <w:t xml:space="preserve">the </w:t>
      </w:r>
      <w:r w:rsidR="00091467">
        <w:rPr>
          <w:rFonts w:ascii="Times New Roman" w:hAnsi="Times New Roman"/>
          <w:sz w:val="24"/>
          <w:szCs w:val="24"/>
        </w:rPr>
        <w:t xml:space="preserve">very low-income population, </w:t>
      </w:r>
      <w:r w:rsidR="00D9326B">
        <w:rPr>
          <w:rFonts w:ascii="Times New Roman" w:hAnsi="Times New Roman"/>
          <w:sz w:val="24"/>
          <w:szCs w:val="24"/>
        </w:rPr>
        <w:t>who are</w:t>
      </w:r>
      <w:r w:rsidR="00091467">
        <w:rPr>
          <w:rFonts w:ascii="Times New Roman" w:hAnsi="Times New Roman"/>
          <w:sz w:val="24"/>
          <w:szCs w:val="24"/>
        </w:rPr>
        <w:t xml:space="preserve"> people </w:t>
      </w:r>
      <w:r w:rsidR="00D9326B">
        <w:rPr>
          <w:rFonts w:ascii="Times New Roman" w:hAnsi="Times New Roman"/>
          <w:sz w:val="24"/>
          <w:szCs w:val="24"/>
        </w:rPr>
        <w:t xml:space="preserve">with </w:t>
      </w:r>
      <w:r w:rsidR="00091467">
        <w:rPr>
          <w:rFonts w:ascii="Times New Roman" w:hAnsi="Times New Roman"/>
          <w:sz w:val="24"/>
          <w:szCs w:val="24"/>
        </w:rPr>
        <w:t>annual income</w:t>
      </w:r>
      <w:r w:rsidR="00D9326B">
        <w:rPr>
          <w:rFonts w:ascii="Times New Roman" w:hAnsi="Times New Roman"/>
          <w:sz w:val="24"/>
          <w:szCs w:val="24"/>
        </w:rPr>
        <w:t>s</w:t>
      </w:r>
      <w:r w:rsidR="00091467">
        <w:rPr>
          <w:rFonts w:ascii="Times New Roman" w:hAnsi="Times New Roman"/>
          <w:sz w:val="24"/>
          <w:szCs w:val="24"/>
        </w:rPr>
        <w:t xml:space="preserve"> below 30% AMI. The other was </w:t>
      </w:r>
      <w:r w:rsidR="00D9326B">
        <w:rPr>
          <w:rFonts w:ascii="Times New Roman" w:hAnsi="Times New Roman"/>
          <w:sz w:val="24"/>
          <w:szCs w:val="24"/>
        </w:rPr>
        <w:t xml:space="preserve">the </w:t>
      </w:r>
      <w:r w:rsidR="00091467">
        <w:rPr>
          <w:rFonts w:ascii="Times New Roman" w:hAnsi="Times New Roman"/>
          <w:sz w:val="24"/>
          <w:szCs w:val="24"/>
        </w:rPr>
        <w:t>low-income population,</w:t>
      </w:r>
      <w:r w:rsidR="00091467" w:rsidRPr="00091467">
        <w:rPr>
          <w:rFonts w:ascii="Times New Roman" w:hAnsi="Times New Roman"/>
          <w:sz w:val="24"/>
          <w:szCs w:val="24"/>
        </w:rPr>
        <w:t xml:space="preserve"> </w:t>
      </w:r>
      <w:r w:rsidR="00D9326B">
        <w:rPr>
          <w:rFonts w:ascii="Times New Roman" w:hAnsi="Times New Roman"/>
          <w:sz w:val="24"/>
          <w:szCs w:val="24"/>
        </w:rPr>
        <w:t xml:space="preserve">who were </w:t>
      </w:r>
      <w:r w:rsidR="00091467">
        <w:rPr>
          <w:rFonts w:ascii="Times New Roman" w:hAnsi="Times New Roman"/>
          <w:sz w:val="24"/>
          <w:szCs w:val="24"/>
        </w:rPr>
        <w:t xml:space="preserve">people </w:t>
      </w:r>
      <w:r w:rsidR="00D9326B">
        <w:rPr>
          <w:rFonts w:ascii="Times New Roman" w:hAnsi="Times New Roman"/>
          <w:sz w:val="24"/>
          <w:szCs w:val="24"/>
        </w:rPr>
        <w:t xml:space="preserve">with </w:t>
      </w:r>
      <w:r w:rsidR="00091467">
        <w:rPr>
          <w:rFonts w:ascii="Times New Roman" w:hAnsi="Times New Roman"/>
          <w:sz w:val="24"/>
          <w:szCs w:val="24"/>
        </w:rPr>
        <w:t>annual income</w:t>
      </w:r>
      <w:r w:rsidR="00D9326B">
        <w:rPr>
          <w:rFonts w:ascii="Times New Roman" w:hAnsi="Times New Roman"/>
          <w:sz w:val="24"/>
          <w:szCs w:val="24"/>
        </w:rPr>
        <w:t>s</w:t>
      </w:r>
      <w:r w:rsidR="00091467">
        <w:rPr>
          <w:rFonts w:ascii="Times New Roman" w:hAnsi="Times New Roman"/>
          <w:sz w:val="24"/>
          <w:szCs w:val="24"/>
        </w:rPr>
        <w:t xml:space="preserve"> between 30% AMI and 80% AMI.</w:t>
      </w:r>
      <w:r w:rsidR="009B05D1">
        <w:rPr>
          <w:rFonts w:ascii="Times New Roman" w:hAnsi="Times New Roman"/>
          <w:sz w:val="24"/>
          <w:szCs w:val="24"/>
        </w:rPr>
        <w:t xml:space="preserve"> </w:t>
      </w:r>
      <w:r w:rsidR="002E328C">
        <w:rPr>
          <w:rFonts w:ascii="Times New Roman" w:hAnsi="Times New Roman"/>
          <w:sz w:val="24"/>
          <w:szCs w:val="24"/>
        </w:rPr>
        <w:t xml:space="preserve">After </w:t>
      </w:r>
      <w:r w:rsidR="00BC2065">
        <w:rPr>
          <w:rFonts w:ascii="Times New Roman" w:hAnsi="Times New Roman"/>
          <w:sz w:val="24"/>
          <w:szCs w:val="24"/>
        </w:rPr>
        <w:t xml:space="preserve">assigning </w:t>
      </w:r>
      <w:r w:rsidR="002E328C">
        <w:rPr>
          <w:rFonts w:ascii="Times New Roman" w:hAnsi="Times New Roman"/>
          <w:sz w:val="24"/>
          <w:szCs w:val="24"/>
        </w:rPr>
        <w:t>both demand and supply values to the corresponding random points</w:t>
      </w:r>
      <w:r w:rsidR="00BC2065">
        <w:rPr>
          <w:rFonts w:ascii="Times New Roman" w:hAnsi="Times New Roman"/>
          <w:sz w:val="24"/>
          <w:szCs w:val="24"/>
        </w:rPr>
        <w:t>, raster</w:t>
      </w:r>
      <w:r w:rsidR="002E328C">
        <w:rPr>
          <w:rFonts w:ascii="Times New Roman" w:hAnsi="Times New Roman"/>
          <w:sz w:val="24"/>
          <w:szCs w:val="24"/>
        </w:rPr>
        <w:t xml:space="preserve"> data </w:t>
      </w:r>
      <w:r w:rsidR="00BC2065">
        <w:rPr>
          <w:rFonts w:ascii="Times New Roman" w:hAnsi="Times New Roman"/>
          <w:sz w:val="24"/>
          <w:szCs w:val="24"/>
        </w:rPr>
        <w:t>layers were</w:t>
      </w:r>
      <w:r w:rsidR="002E328C">
        <w:rPr>
          <w:rFonts w:ascii="Times New Roman" w:hAnsi="Times New Roman"/>
          <w:sz w:val="24"/>
          <w:szCs w:val="24"/>
        </w:rPr>
        <w:t xml:space="preserve"> generated by </w:t>
      </w:r>
      <w:r w:rsidR="006D5052">
        <w:rPr>
          <w:rFonts w:ascii="Times New Roman" w:hAnsi="Times New Roman"/>
          <w:sz w:val="24"/>
          <w:szCs w:val="24"/>
        </w:rPr>
        <w:t>i</w:t>
      </w:r>
      <w:r w:rsidR="00883629">
        <w:rPr>
          <w:rFonts w:ascii="Times New Roman" w:hAnsi="Times New Roman"/>
          <w:sz w:val="24"/>
          <w:szCs w:val="24"/>
        </w:rPr>
        <w:t xml:space="preserve">nverse </w:t>
      </w:r>
      <w:r w:rsidR="006D5052">
        <w:rPr>
          <w:rFonts w:ascii="Times New Roman" w:hAnsi="Times New Roman"/>
          <w:sz w:val="24"/>
          <w:szCs w:val="24"/>
        </w:rPr>
        <w:t>d</w:t>
      </w:r>
      <w:r w:rsidR="00883629">
        <w:rPr>
          <w:rFonts w:ascii="Times New Roman" w:hAnsi="Times New Roman"/>
          <w:sz w:val="24"/>
          <w:szCs w:val="24"/>
        </w:rPr>
        <w:t xml:space="preserve">istance </w:t>
      </w:r>
      <w:r w:rsidR="006D5052">
        <w:rPr>
          <w:rFonts w:ascii="Times New Roman" w:hAnsi="Times New Roman"/>
          <w:sz w:val="24"/>
          <w:szCs w:val="24"/>
        </w:rPr>
        <w:t>w</w:t>
      </w:r>
      <w:r w:rsidR="00883629">
        <w:rPr>
          <w:rFonts w:ascii="Times New Roman" w:hAnsi="Times New Roman"/>
          <w:sz w:val="24"/>
          <w:szCs w:val="24"/>
        </w:rPr>
        <w:t>e</w:t>
      </w:r>
      <w:r w:rsidR="00F30AB8">
        <w:rPr>
          <w:rFonts w:ascii="Times New Roman" w:hAnsi="Times New Roman"/>
          <w:sz w:val="24"/>
          <w:szCs w:val="24"/>
        </w:rPr>
        <w:t>i</w:t>
      </w:r>
      <w:r w:rsidR="00883629">
        <w:rPr>
          <w:rFonts w:ascii="Times New Roman" w:hAnsi="Times New Roman"/>
          <w:sz w:val="24"/>
          <w:szCs w:val="24"/>
        </w:rPr>
        <w:t xml:space="preserve">ghted </w:t>
      </w:r>
      <w:r w:rsidR="006D5052">
        <w:rPr>
          <w:rFonts w:ascii="Times New Roman" w:hAnsi="Times New Roman"/>
          <w:sz w:val="24"/>
          <w:szCs w:val="24"/>
        </w:rPr>
        <w:t>(IDW) i</w:t>
      </w:r>
      <w:r w:rsidR="002E328C">
        <w:rPr>
          <w:rFonts w:ascii="Times New Roman" w:hAnsi="Times New Roman"/>
          <w:sz w:val="24"/>
          <w:szCs w:val="24"/>
        </w:rPr>
        <w:t>nterpolation</w:t>
      </w:r>
      <w:r w:rsidR="00883629">
        <w:rPr>
          <w:rFonts w:ascii="Times New Roman" w:hAnsi="Times New Roman"/>
          <w:sz w:val="24"/>
          <w:szCs w:val="24"/>
        </w:rPr>
        <w:t xml:space="preserve"> to create a surface that predict</w:t>
      </w:r>
      <w:r w:rsidR="006D5052">
        <w:rPr>
          <w:rFonts w:ascii="Times New Roman" w:hAnsi="Times New Roman"/>
          <w:sz w:val="24"/>
          <w:szCs w:val="24"/>
        </w:rPr>
        <w:t>s</w:t>
      </w:r>
      <w:r w:rsidR="00883629">
        <w:rPr>
          <w:rFonts w:ascii="Times New Roman" w:hAnsi="Times New Roman"/>
          <w:sz w:val="24"/>
          <w:szCs w:val="24"/>
        </w:rPr>
        <w:t xml:space="preserve"> the supply and demand in the surrounding </w:t>
      </w:r>
      <w:r w:rsidR="00F30AB8">
        <w:rPr>
          <w:rFonts w:ascii="Times New Roman" w:hAnsi="Times New Roman"/>
          <w:sz w:val="24"/>
          <w:szCs w:val="24"/>
        </w:rPr>
        <w:t xml:space="preserve">specified network service area </w:t>
      </w:r>
      <w:r w:rsidR="00883629">
        <w:rPr>
          <w:rFonts w:ascii="Times New Roman" w:hAnsi="Times New Roman"/>
          <w:sz w:val="24"/>
          <w:szCs w:val="24"/>
        </w:rPr>
        <w:t>of any location in the county</w:t>
      </w:r>
      <w:r w:rsidR="002E328C">
        <w:rPr>
          <w:rFonts w:ascii="Times New Roman" w:hAnsi="Times New Roman"/>
          <w:sz w:val="24"/>
          <w:szCs w:val="24"/>
        </w:rPr>
        <w:t>.</w:t>
      </w:r>
    </w:p>
    <w:p w:rsidR="00F30AB8" w:rsidRDefault="002E328C" w:rsidP="009F542E">
      <w:pPr>
        <w:spacing w:line="480" w:lineRule="auto"/>
        <w:ind w:firstLine="720"/>
        <w:rPr>
          <w:rFonts w:ascii="Times New Roman" w:hAnsi="Times New Roman"/>
          <w:sz w:val="24"/>
          <w:szCs w:val="24"/>
        </w:rPr>
      </w:pPr>
      <w:r>
        <w:rPr>
          <w:rFonts w:ascii="Times New Roman" w:hAnsi="Times New Roman"/>
          <w:sz w:val="24"/>
          <w:szCs w:val="24"/>
        </w:rPr>
        <w:t xml:space="preserve"> </w:t>
      </w:r>
      <w:r w:rsidR="00F30AB8">
        <w:rPr>
          <w:rFonts w:ascii="Times New Roman" w:hAnsi="Times New Roman"/>
          <w:sz w:val="24"/>
          <w:szCs w:val="24"/>
        </w:rPr>
        <w:t xml:space="preserve">The network service area in this research corresponds to the walking, biking and driving distances. </w:t>
      </w:r>
      <w:r w:rsidR="00C343DD">
        <w:rPr>
          <w:rFonts w:ascii="Times New Roman" w:hAnsi="Times New Roman"/>
          <w:sz w:val="24"/>
          <w:szCs w:val="24"/>
        </w:rPr>
        <w:t>To better</w:t>
      </w:r>
      <w:r w:rsidR="00BC2065">
        <w:rPr>
          <w:rFonts w:ascii="Times New Roman" w:hAnsi="Times New Roman"/>
          <w:sz w:val="24"/>
          <w:szCs w:val="24"/>
        </w:rPr>
        <w:t xml:space="preserve"> compar</w:t>
      </w:r>
      <w:r w:rsidR="00C343DD">
        <w:rPr>
          <w:rFonts w:ascii="Times New Roman" w:hAnsi="Times New Roman"/>
          <w:sz w:val="24"/>
          <w:szCs w:val="24"/>
        </w:rPr>
        <w:t>e</w:t>
      </w:r>
      <w:r w:rsidR="009943B7">
        <w:rPr>
          <w:rFonts w:ascii="Times New Roman" w:hAnsi="Times New Roman"/>
          <w:sz w:val="24"/>
          <w:szCs w:val="24"/>
        </w:rPr>
        <w:t xml:space="preserve"> the results, a</w:t>
      </w:r>
      <w:r w:rsidR="004D382A">
        <w:rPr>
          <w:rFonts w:ascii="Times New Roman" w:hAnsi="Times New Roman"/>
          <w:sz w:val="24"/>
          <w:szCs w:val="24"/>
        </w:rPr>
        <w:t xml:space="preserve"> common and widespread statistical </w:t>
      </w:r>
      <w:r w:rsidR="00C650E1">
        <w:rPr>
          <w:rFonts w:ascii="Times New Roman" w:hAnsi="Times New Roman"/>
          <w:sz w:val="24"/>
          <w:szCs w:val="24"/>
        </w:rPr>
        <w:t>method</w:t>
      </w:r>
      <w:r w:rsidR="00BC2065" w:rsidRPr="00BC2065">
        <w:rPr>
          <w:rFonts w:ascii="Times New Roman" w:hAnsi="Times New Roman"/>
          <w:sz w:val="24"/>
          <w:szCs w:val="24"/>
        </w:rPr>
        <w:t xml:space="preserve"> </w:t>
      </w:r>
      <w:r w:rsidR="009943B7">
        <w:rPr>
          <w:rFonts w:ascii="Times New Roman" w:hAnsi="Times New Roman"/>
          <w:sz w:val="24"/>
          <w:szCs w:val="24"/>
        </w:rPr>
        <w:t>was</w:t>
      </w:r>
      <w:r w:rsidR="00E350CC">
        <w:rPr>
          <w:rFonts w:ascii="Times New Roman" w:hAnsi="Times New Roman"/>
          <w:sz w:val="24"/>
          <w:szCs w:val="24"/>
        </w:rPr>
        <w:t xml:space="preserve"> employed</w:t>
      </w:r>
      <w:r w:rsidR="009943B7">
        <w:rPr>
          <w:rFonts w:ascii="Times New Roman" w:hAnsi="Times New Roman"/>
          <w:sz w:val="24"/>
          <w:szCs w:val="24"/>
        </w:rPr>
        <w:t xml:space="preserve"> </w:t>
      </w:r>
      <w:r w:rsidR="00BC2065">
        <w:rPr>
          <w:rFonts w:ascii="Times New Roman" w:hAnsi="Times New Roman"/>
          <w:sz w:val="24"/>
          <w:szCs w:val="24"/>
        </w:rPr>
        <w:t>to standardize all the data on one scale</w:t>
      </w:r>
      <w:r w:rsidR="00BC2065" w:rsidRPr="00BC2065">
        <w:rPr>
          <w:rFonts w:ascii="Times New Roman" w:hAnsi="Times New Roman"/>
          <w:sz w:val="24"/>
          <w:szCs w:val="24"/>
        </w:rPr>
        <w:t xml:space="preserve"> </w:t>
      </w:r>
      <w:r w:rsidR="00BC2065">
        <w:rPr>
          <w:rFonts w:ascii="Times New Roman" w:hAnsi="Times New Roman"/>
          <w:sz w:val="24"/>
          <w:szCs w:val="24"/>
        </w:rPr>
        <w:t xml:space="preserve">using a </w:t>
      </w:r>
      <w:r w:rsidR="0065612A">
        <w:rPr>
          <w:rFonts w:ascii="Times New Roman" w:hAnsi="Times New Roman"/>
          <w:sz w:val="24"/>
          <w:szCs w:val="24"/>
        </w:rPr>
        <w:t>z</w:t>
      </w:r>
      <w:r w:rsidR="00BC2065">
        <w:rPr>
          <w:rFonts w:ascii="Times New Roman" w:hAnsi="Times New Roman"/>
          <w:sz w:val="24"/>
          <w:szCs w:val="24"/>
        </w:rPr>
        <w:t>-score</w:t>
      </w:r>
      <w:r w:rsidR="004D382A">
        <w:rPr>
          <w:rFonts w:ascii="Times New Roman" w:hAnsi="Times New Roman"/>
          <w:sz w:val="24"/>
          <w:szCs w:val="24"/>
        </w:rPr>
        <w:t xml:space="preserve">. </w:t>
      </w:r>
      <w:r w:rsidR="004D382A" w:rsidRPr="004D382A">
        <w:rPr>
          <w:rFonts w:ascii="Times New Roman" w:hAnsi="Times New Roman"/>
          <w:sz w:val="24"/>
          <w:szCs w:val="24"/>
        </w:rPr>
        <w:t xml:space="preserve">Each </w:t>
      </w:r>
      <w:r w:rsidR="0065612A">
        <w:rPr>
          <w:rFonts w:ascii="Times New Roman" w:hAnsi="Times New Roman"/>
          <w:sz w:val="24"/>
          <w:szCs w:val="24"/>
        </w:rPr>
        <w:t>z</w:t>
      </w:r>
      <w:r w:rsidR="004D382A" w:rsidRPr="004D382A">
        <w:rPr>
          <w:rFonts w:ascii="Times New Roman" w:hAnsi="Times New Roman"/>
          <w:sz w:val="24"/>
          <w:szCs w:val="24"/>
        </w:rPr>
        <w:t>-score corresponds to a</w:t>
      </w:r>
      <w:r w:rsidR="009943B7">
        <w:rPr>
          <w:rFonts w:ascii="Times New Roman" w:hAnsi="Times New Roman"/>
          <w:sz w:val="24"/>
          <w:szCs w:val="24"/>
        </w:rPr>
        <w:t xml:space="preserve"> point in a normal distribution. A</w:t>
      </w:r>
      <w:r w:rsidR="004D382A" w:rsidRPr="004D382A">
        <w:rPr>
          <w:rFonts w:ascii="Times New Roman" w:hAnsi="Times New Roman"/>
          <w:sz w:val="24"/>
          <w:szCs w:val="24"/>
        </w:rPr>
        <w:t xml:space="preserve"> </w:t>
      </w:r>
      <w:r w:rsidR="0065612A">
        <w:rPr>
          <w:rFonts w:ascii="Times New Roman" w:hAnsi="Times New Roman"/>
          <w:sz w:val="24"/>
          <w:szCs w:val="24"/>
        </w:rPr>
        <w:t>z</w:t>
      </w:r>
      <w:r w:rsidR="004D382A" w:rsidRPr="004D382A">
        <w:rPr>
          <w:rFonts w:ascii="Times New Roman" w:hAnsi="Times New Roman"/>
          <w:sz w:val="24"/>
          <w:szCs w:val="24"/>
        </w:rPr>
        <w:t>-score describe</w:t>
      </w:r>
      <w:r w:rsidR="00EA5EAE">
        <w:rPr>
          <w:rFonts w:ascii="Times New Roman" w:hAnsi="Times New Roman"/>
          <w:sz w:val="24"/>
          <w:szCs w:val="24"/>
        </w:rPr>
        <w:t>s</w:t>
      </w:r>
      <w:r w:rsidR="004D382A" w:rsidRPr="004D382A">
        <w:rPr>
          <w:rFonts w:ascii="Times New Roman" w:hAnsi="Times New Roman"/>
          <w:sz w:val="24"/>
          <w:szCs w:val="24"/>
        </w:rPr>
        <w:t xml:space="preserve"> how much a point deviates from a mean </w:t>
      </w:r>
      <w:r w:rsidR="009943B7">
        <w:rPr>
          <w:rFonts w:ascii="Times New Roman" w:hAnsi="Times New Roman"/>
          <w:sz w:val="24"/>
          <w:szCs w:val="24"/>
        </w:rPr>
        <w:t>value</w:t>
      </w:r>
      <w:r w:rsidR="00883629">
        <w:rPr>
          <w:rFonts w:ascii="Times New Roman" w:hAnsi="Times New Roman"/>
          <w:sz w:val="24"/>
          <w:szCs w:val="24"/>
        </w:rPr>
        <w:t xml:space="preserve"> and it is calculated by </w:t>
      </w:r>
      <w:r w:rsidR="00F30AB8">
        <w:rPr>
          <w:rFonts w:ascii="Times New Roman" w:hAnsi="Times New Roman"/>
          <w:sz w:val="24"/>
          <w:szCs w:val="24"/>
        </w:rPr>
        <w:t>subtracting</w:t>
      </w:r>
      <w:r w:rsidR="00883629">
        <w:rPr>
          <w:rFonts w:ascii="Times New Roman" w:hAnsi="Times New Roman"/>
          <w:sz w:val="24"/>
          <w:szCs w:val="24"/>
        </w:rPr>
        <w:t xml:space="preserve"> </w:t>
      </w:r>
      <w:r w:rsidR="009943B7">
        <w:rPr>
          <w:rFonts w:ascii="Times New Roman" w:hAnsi="Times New Roman"/>
          <w:sz w:val="24"/>
          <w:szCs w:val="24"/>
        </w:rPr>
        <w:t xml:space="preserve">the mean value </w:t>
      </w:r>
      <w:r w:rsidR="00883629">
        <w:rPr>
          <w:rFonts w:ascii="Times New Roman" w:hAnsi="Times New Roman"/>
          <w:sz w:val="24"/>
          <w:szCs w:val="24"/>
        </w:rPr>
        <w:t xml:space="preserve">from the original estimated value </w:t>
      </w:r>
      <w:r w:rsidR="009943B7">
        <w:rPr>
          <w:rFonts w:ascii="Times New Roman" w:hAnsi="Times New Roman"/>
          <w:sz w:val="24"/>
          <w:szCs w:val="24"/>
        </w:rPr>
        <w:t>and then divid</w:t>
      </w:r>
      <w:r w:rsidR="006D5052">
        <w:rPr>
          <w:rFonts w:ascii="Times New Roman" w:hAnsi="Times New Roman"/>
          <w:sz w:val="24"/>
          <w:szCs w:val="24"/>
        </w:rPr>
        <w:t>ing</w:t>
      </w:r>
      <w:r w:rsidR="009943B7">
        <w:rPr>
          <w:rFonts w:ascii="Times New Roman" w:hAnsi="Times New Roman"/>
          <w:sz w:val="24"/>
          <w:szCs w:val="24"/>
        </w:rPr>
        <w:t xml:space="preserve"> </w:t>
      </w:r>
      <w:r w:rsidR="00883629">
        <w:rPr>
          <w:rFonts w:ascii="Times New Roman" w:hAnsi="Times New Roman"/>
          <w:sz w:val="24"/>
          <w:szCs w:val="24"/>
        </w:rPr>
        <w:t xml:space="preserve">the result </w:t>
      </w:r>
      <w:r w:rsidR="009943B7">
        <w:rPr>
          <w:rFonts w:ascii="Times New Roman" w:hAnsi="Times New Roman"/>
          <w:sz w:val="24"/>
          <w:szCs w:val="24"/>
        </w:rPr>
        <w:t xml:space="preserve">by the standard </w:t>
      </w:r>
      <w:r w:rsidR="00D1466A">
        <w:rPr>
          <w:rFonts w:ascii="Times New Roman" w:hAnsi="Times New Roman"/>
          <w:sz w:val="24"/>
          <w:szCs w:val="24"/>
        </w:rPr>
        <w:t>deviation</w:t>
      </w:r>
      <w:r w:rsidR="00883629">
        <w:rPr>
          <w:rFonts w:ascii="Times New Roman" w:hAnsi="Times New Roman"/>
          <w:sz w:val="24"/>
          <w:szCs w:val="24"/>
        </w:rPr>
        <w:t>. The m</w:t>
      </w:r>
      <w:r w:rsidR="006D5052">
        <w:rPr>
          <w:rFonts w:ascii="Times New Roman" w:hAnsi="Times New Roman"/>
          <w:sz w:val="24"/>
          <w:szCs w:val="24"/>
        </w:rPr>
        <w:t>ea</w:t>
      </w:r>
      <w:r w:rsidR="00F30AB8">
        <w:rPr>
          <w:rFonts w:ascii="Times New Roman" w:hAnsi="Times New Roman"/>
          <w:sz w:val="24"/>
          <w:szCs w:val="24"/>
        </w:rPr>
        <w:t xml:space="preserve">n and standard deviation are </w:t>
      </w:r>
      <w:r w:rsidR="00883629">
        <w:rPr>
          <w:rFonts w:ascii="Times New Roman" w:hAnsi="Times New Roman"/>
          <w:sz w:val="24"/>
          <w:szCs w:val="24"/>
        </w:rPr>
        <w:t xml:space="preserve">estimated for the whole </w:t>
      </w:r>
      <w:r w:rsidR="006D5052">
        <w:rPr>
          <w:rFonts w:ascii="Times New Roman" w:hAnsi="Times New Roman"/>
          <w:sz w:val="24"/>
          <w:szCs w:val="24"/>
        </w:rPr>
        <w:t xml:space="preserve">raster </w:t>
      </w:r>
      <w:r w:rsidR="00883629">
        <w:rPr>
          <w:rFonts w:ascii="Times New Roman" w:hAnsi="Times New Roman"/>
          <w:sz w:val="24"/>
          <w:szCs w:val="24"/>
        </w:rPr>
        <w:t xml:space="preserve">which represents </w:t>
      </w:r>
      <w:r w:rsidR="003B7C1A">
        <w:rPr>
          <w:rFonts w:ascii="Times New Roman" w:hAnsi="Times New Roman"/>
          <w:sz w:val="24"/>
          <w:szCs w:val="24"/>
        </w:rPr>
        <w:t>th</w:t>
      </w:r>
      <w:r w:rsidR="00883629">
        <w:rPr>
          <w:rFonts w:ascii="Times New Roman" w:hAnsi="Times New Roman"/>
          <w:sz w:val="24"/>
          <w:szCs w:val="24"/>
        </w:rPr>
        <w:t xml:space="preserve">e total </w:t>
      </w:r>
      <w:r w:rsidR="00883629">
        <w:rPr>
          <w:rFonts w:ascii="Times New Roman" w:hAnsi="Times New Roman"/>
          <w:sz w:val="24"/>
          <w:szCs w:val="24"/>
        </w:rPr>
        <w:lastRenderedPageBreak/>
        <w:t>number of points in the study area</w:t>
      </w:r>
      <w:r w:rsidR="00D1466A">
        <w:rPr>
          <w:rFonts w:ascii="Times New Roman" w:hAnsi="Times New Roman"/>
          <w:sz w:val="24"/>
          <w:szCs w:val="24"/>
        </w:rPr>
        <w:t xml:space="preserve">. In </w:t>
      </w:r>
      <w:r w:rsidR="00E350CC">
        <w:rPr>
          <w:rFonts w:ascii="Times New Roman" w:hAnsi="Times New Roman"/>
          <w:sz w:val="24"/>
          <w:szCs w:val="24"/>
        </w:rPr>
        <w:t xml:space="preserve">this </w:t>
      </w:r>
      <w:r w:rsidR="00D1466A">
        <w:rPr>
          <w:rFonts w:ascii="Times New Roman" w:hAnsi="Times New Roman"/>
          <w:sz w:val="24"/>
          <w:szCs w:val="24"/>
        </w:rPr>
        <w:t>way, a</w:t>
      </w:r>
      <w:r w:rsidR="004D382A">
        <w:rPr>
          <w:rFonts w:ascii="Times New Roman" w:hAnsi="Times New Roman"/>
          <w:sz w:val="24"/>
          <w:szCs w:val="24"/>
        </w:rPr>
        <w:t xml:space="preserve"> concise and explicit comparison by </w:t>
      </w:r>
      <w:r w:rsidR="006D5052">
        <w:rPr>
          <w:rFonts w:ascii="Times New Roman" w:hAnsi="Times New Roman"/>
          <w:sz w:val="24"/>
          <w:szCs w:val="24"/>
        </w:rPr>
        <w:t>z</w:t>
      </w:r>
      <w:r w:rsidR="009943B7">
        <w:rPr>
          <w:rFonts w:ascii="Times New Roman" w:hAnsi="Times New Roman"/>
          <w:sz w:val="24"/>
          <w:szCs w:val="24"/>
        </w:rPr>
        <w:t xml:space="preserve">-score could be carried </w:t>
      </w:r>
      <w:r w:rsidR="00E350CC">
        <w:rPr>
          <w:rFonts w:ascii="Times New Roman" w:hAnsi="Times New Roman"/>
          <w:sz w:val="24"/>
          <w:szCs w:val="24"/>
        </w:rPr>
        <w:t xml:space="preserve">out </w:t>
      </w:r>
      <w:r w:rsidR="009943B7">
        <w:rPr>
          <w:rFonts w:ascii="Times New Roman" w:hAnsi="Times New Roman"/>
          <w:sz w:val="24"/>
          <w:szCs w:val="24"/>
        </w:rPr>
        <w:t>easily</w:t>
      </w:r>
      <w:r w:rsidR="004D382A">
        <w:rPr>
          <w:rFonts w:ascii="Times New Roman" w:hAnsi="Times New Roman"/>
          <w:sz w:val="24"/>
          <w:szCs w:val="24"/>
        </w:rPr>
        <w:t>.</w:t>
      </w:r>
    </w:p>
    <w:p w:rsidR="007024C5" w:rsidRDefault="001E15A7" w:rsidP="00731305">
      <w:pPr>
        <w:spacing w:line="480" w:lineRule="auto"/>
        <w:rPr>
          <w:rFonts w:ascii="Times New Roman" w:hAnsi="Times New Roman"/>
          <w:sz w:val="24"/>
          <w:szCs w:val="24"/>
        </w:rPr>
      </w:pPr>
      <w:r>
        <w:rPr>
          <w:rFonts w:ascii="Times New Roman" w:hAnsi="Times New Roman"/>
          <w:sz w:val="24"/>
          <w:szCs w:val="24"/>
        </w:rPr>
        <w:t xml:space="preserve">4.6 </w:t>
      </w:r>
      <w:r w:rsidR="00D623F8">
        <w:rPr>
          <w:rFonts w:ascii="Times New Roman" w:hAnsi="Times New Roman"/>
          <w:sz w:val="24"/>
          <w:szCs w:val="24"/>
        </w:rPr>
        <w:t>Mapping the spatial mismatch</w:t>
      </w:r>
      <w:r>
        <w:rPr>
          <w:rFonts w:ascii="Times New Roman" w:hAnsi="Times New Roman"/>
          <w:sz w:val="24"/>
          <w:szCs w:val="24"/>
        </w:rPr>
        <w:t>.</w:t>
      </w:r>
    </w:p>
    <w:p w:rsidR="006A41AB" w:rsidRDefault="0065612A" w:rsidP="00935D48">
      <w:pPr>
        <w:spacing w:line="480" w:lineRule="auto"/>
        <w:ind w:firstLine="720"/>
        <w:rPr>
          <w:rFonts w:ascii="Times New Roman" w:hAnsi="Times New Roman"/>
          <w:sz w:val="24"/>
          <w:szCs w:val="24"/>
        </w:rPr>
      </w:pPr>
      <w:r>
        <w:rPr>
          <w:rFonts w:ascii="Times New Roman" w:hAnsi="Times New Roman"/>
          <w:sz w:val="24"/>
          <w:szCs w:val="24"/>
        </w:rPr>
        <w:t xml:space="preserve">The z-score comparison shows the relative </w:t>
      </w:r>
      <w:r w:rsidR="00C53B7F">
        <w:rPr>
          <w:rFonts w:ascii="Times New Roman" w:hAnsi="Times New Roman"/>
          <w:sz w:val="24"/>
          <w:szCs w:val="24"/>
        </w:rPr>
        <w:t xml:space="preserve">opportunity </w:t>
      </w:r>
      <w:r w:rsidR="003B7C1A">
        <w:rPr>
          <w:rFonts w:ascii="Times New Roman" w:hAnsi="Times New Roman"/>
          <w:sz w:val="24"/>
          <w:szCs w:val="24"/>
        </w:rPr>
        <w:t xml:space="preserve">values </w:t>
      </w:r>
      <w:r w:rsidR="00954E1B">
        <w:rPr>
          <w:rFonts w:ascii="Times New Roman" w:hAnsi="Times New Roman"/>
          <w:sz w:val="24"/>
          <w:szCs w:val="24"/>
        </w:rPr>
        <w:t xml:space="preserve">in </w:t>
      </w:r>
      <w:r w:rsidR="006D5052">
        <w:rPr>
          <w:rFonts w:ascii="Times New Roman" w:hAnsi="Times New Roman"/>
          <w:sz w:val="24"/>
          <w:szCs w:val="24"/>
        </w:rPr>
        <w:t xml:space="preserve">the </w:t>
      </w:r>
      <w:r w:rsidR="00954E1B">
        <w:rPr>
          <w:rFonts w:ascii="Times New Roman" w:hAnsi="Times New Roman"/>
          <w:sz w:val="24"/>
          <w:szCs w:val="24"/>
        </w:rPr>
        <w:t>number of standard deviations for</w:t>
      </w:r>
      <w:r>
        <w:rPr>
          <w:rFonts w:ascii="Times New Roman" w:hAnsi="Times New Roman"/>
          <w:sz w:val="24"/>
          <w:szCs w:val="24"/>
        </w:rPr>
        <w:t xml:space="preserve"> </w:t>
      </w:r>
      <w:r w:rsidR="003B7C1A">
        <w:rPr>
          <w:rFonts w:ascii="Times New Roman" w:hAnsi="Times New Roman"/>
          <w:sz w:val="24"/>
          <w:szCs w:val="24"/>
        </w:rPr>
        <w:t xml:space="preserve">the </w:t>
      </w:r>
      <w:r>
        <w:rPr>
          <w:rFonts w:ascii="Times New Roman" w:hAnsi="Times New Roman"/>
          <w:sz w:val="24"/>
          <w:szCs w:val="24"/>
        </w:rPr>
        <w:t xml:space="preserve">points in the data’s distribution.  </w:t>
      </w:r>
      <w:r w:rsidR="00100921">
        <w:rPr>
          <w:rFonts w:ascii="Times New Roman" w:hAnsi="Times New Roman"/>
          <w:sz w:val="24"/>
          <w:szCs w:val="24"/>
        </w:rPr>
        <w:t xml:space="preserve">It </w:t>
      </w:r>
      <w:r w:rsidR="00731305">
        <w:rPr>
          <w:rFonts w:ascii="Times New Roman" w:hAnsi="Times New Roman"/>
          <w:sz w:val="24"/>
          <w:szCs w:val="24"/>
        </w:rPr>
        <w:t xml:space="preserve">also </w:t>
      </w:r>
      <w:r w:rsidR="00100921">
        <w:rPr>
          <w:rFonts w:ascii="Times New Roman" w:hAnsi="Times New Roman"/>
          <w:sz w:val="24"/>
          <w:szCs w:val="24"/>
        </w:rPr>
        <w:t>allow</w:t>
      </w:r>
      <w:r w:rsidR="00F15F56">
        <w:rPr>
          <w:rFonts w:ascii="Times New Roman" w:hAnsi="Times New Roman"/>
          <w:sz w:val="24"/>
          <w:szCs w:val="24"/>
        </w:rPr>
        <w:t xml:space="preserve">s for a </w:t>
      </w:r>
      <w:proofErr w:type="gramStart"/>
      <w:r w:rsidR="00933A32">
        <w:rPr>
          <w:rFonts w:ascii="Times New Roman" w:hAnsi="Times New Roman"/>
          <w:sz w:val="24"/>
          <w:szCs w:val="24"/>
        </w:rPr>
        <w:t>comparison  of</w:t>
      </w:r>
      <w:proofErr w:type="gramEnd"/>
      <w:r w:rsidR="00933A32">
        <w:rPr>
          <w:rFonts w:ascii="Times New Roman" w:hAnsi="Times New Roman"/>
          <w:sz w:val="24"/>
          <w:szCs w:val="24"/>
        </w:rPr>
        <w:t xml:space="preserve"> </w:t>
      </w:r>
      <w:r w:rsidR="00100921" w:rsidRPr="00731305">
        <w:rPr>
          <w:rFonts w:ascii="Times New Roman" w:hAnsi="Times New Roman"/>
          <w:sz w:val="24"/>
          <w:szCs w:val="24"/>
        </w:rPr>
        <w:t xml:space="preserve">scores obtained </w:t>
      </w:r>
      <w:r w:rsidR="00405746">
        <w:rPr>
          <w:rFonts w:ascii="Times New Roman" w:hAnsi="Times New Roman"/>
          <w:sz w:val="24"/>
          <w:szCs w:val="24"/>
        </w:rPr>
        <w:t xml:space="preserve">for </w:t>
      </w:r>
      <w:r w:rsidR="00100921" w:rsidRPr="00731305">
        <w:rPr>
          <w:rFonts w:ascii="Times New Roman" w:hAnsi="Times New Roman"/>
          <w:sz w:val="24"/>
          <w:szCs w:val="24"/>
        </w:rPr>
        <w:t>different</w:t>
      </w:r>
      <w:r w:rsidR="00C53B7F">
        <w:rPr>
          <w:rFonts w:ascii="Times New Roman" w:hAnsi="Times New Roman"/>
          <w:sz w:val="24"/>
          <w:szCs w:val="24"/>
        </w:rPr>
        <w:t xml:space="preserve"> locations</w:t>
      </w:r>
      <w:r w:rsidR="00405746">
        <w:rPr>
          <w:rFonts w:ascii="Times New Roman" w:hAnsi="Times New Roman"/>
          <w:sz w:val="24"/>
          <w:szCs w:val="24"/>
        </w:rPr>
        <w:t xml:space="preserve"> </w:t>
      </w:r>
      <w:r w:rsidR="00C53B7F">
        <w:rPr>
          <w:rFonts w:ascii="Times New Roman" w:hAnsi="Times New Roman"/>
          <w:sz w:val="24"/>
          <w:szCs w:val="24"/>
        </w:rPr>
        <w:t xml:space="preserve">and </w:t>
      </w:r>
      <w:r w:rsidR="00933A32">
        <w:rPr>
          <w:rFonts w:ascii="Times New Roman" w:hAnsi="Times New Roman"/>
          <w:sz w:val="24"/>
          <w:szCs w:val="24"/>
        </w:rPr>
        <w:t xml:space="preserve">to </w:t>
      </w:r>
      <w:r w:rsidR="00C53B7F">
        <w:rPr>
          <w:rFonts w:ascii="Times New Roman" w:hAnsi="Times New Roman"/>
          <w:sz w:val="24"/>
          <w:szCs w:val="24"/>
        </w:rPr>
        <w:t>map</w:t>
      </w:r>
      <w:r w:rsidR="00100921" w:rsidRPr="00731305">
        <w:rPr>
          <w:rFonts w:ascii="Times New Roman" w:hAnsi="Times New Roman"/>
          <w:sz w:val="24"/>
          <w:szCs w:val="24"/>
        </w:rPr>
        <w:t xml:space="preserve"> </w:t>
      </w:r>
      <w:r w:rsidR="00954E1B">
        <w:rPr>
          <w:rFonts w:ascii="Times New Roman" w:hAnsi="Times New Roman"/>
          <w:sz w:val="24"/>
          <w:szCs w:val="24"/>
        </w:rPr>
        <w:t>the mismatch</w:t>
      </w:r>
      <w:r w:rsidR="00731305">
        <w:rPr>
          <w:rFonts w:ascii="Times New Roman" w:hAnsi="Times New Roman"/>
          <w:sz w:val="24"/>
          <w:szCs w:val="24"/>
        </w:rPr>
        <w:t xml:space="preserve">. </w:t>
      </w:r>
      <w:r w:rsidR="00C53B7F">
        <w:rPr>
          <w:rFonts w:ascii="Times New Roman" w:hAnsi="Times New Roman"/>
          <w:sz w:val="24"/>
          <w:szCs w:val="24"/>
        </w:rPr>
        <w:t xml:space="preserve">In summary, the map of </w:t>
      </w:r>
      <w:r w:rsidR="00933A32">
        <w:rPr>
          <w:rFonts w:ascii="Times New Roman" w:hAnsi="Times New Roman"/>
          <w:sz w:val="24"/>
          <w:szCs w:val="24"/>
        </w:rPr>
        <w:t>z</w:t>
      </w:r>
      <w:r w:rsidR="00C53B7F">
        <w:rPr>
          <w:rFonts w:ascii="Times New Roman" w:hAnsi="Times New Roman"/>
          <w:sz w:val="24"/>
          <w:szCs w:val="24"/>
        </w:rPr>
        <w:t>- scores</w:t>
      </w:r>
      <w:r>
        <w:rPr>
          <w:rFonts w:ascii="Times New Roman" w:hAnsi="Times New Roman"/>
          <w:sz w:val="24"/>
          <w:szCs w:val="24"/>
        </w:rPr>
        <w:t xml:space="preserve"> s</w:t>
      </w:r>
      <w:r w:rsidR="00C53B7F">
        <w:rPr>
          <w:rFonts w:ascii="Times New Roman" w:hAnsi="Times New Roman"/>
          <w:sz w:val="24"/>
          <w:szCs w:val="24"/>
        </w:rPr>
        <w:t>hows the comparative scores for</w:t>
      </w:r>
      <w:r>
        <w:rPr>
          <w:rFonts w:ascii="Times New Roman" w:hAnsi="Times New Roman"/>
          <w:sz w:val="24"/>
          <w:szCs w:val="24"/>
        </w:rPr>
        <w:t xml:space="preserve"> </w:t>
      </w:r>
      <w:r w:rsidR="00C53B7F">
        <w:rPr>
          <w:rFonts w:ascii="Times New Roman" w:hAnsi="Times New Roman"/>
          <w:sz w:val="24"/>
          <w:szCs w:val="24"/>
        </w:rPr>
        <w:t>demand and supply</w:t>
      </w:r>
      <w:r w:rsidR="00933A32">
        <w:rPr>
          <w:rFonts w:ascii="Times New Roman" w:hAnsi="Times New Roman"/>
          <w:sz w:val="24"/>
          <w:szCs w:val="24"/>
        </w:rPr>
        <w:t>,</w:t>
      </w:r>
      <w:r w:rsidR="00C53B7F">
        <w:rPr>
          <w:rFonts w:ascii="Times New Roman" w:hAnsi="Times New Roman"/>
          <w:sz w:val="24"/>
          <w:szCs w:val="24"/>
        </w:rPr>
        <w:t xml:space="preserve"> and places where there is a balance between supply </w:t>
      </w:r>
      <w:r w:rsidR="00954E1B">
        <w:rPr>
          <w:rFonts w:ascii="Times New Roman" w:hAnsi="Times New Roman"/>
          <w:sz w:val="24"/>
          <w:szCs w:val="24"/>
        </w:rPr>
        <w:t>and demand</w:t>
      </w:r>
      <w:r w:rsidR="00933A32">
        <w:rPr>
          <w:rFonts w:ascii="Times New Roman" w:hAnsi="Times New Roman"/>
          <w:sz w:val="24"/>
          <w:szCs w:val="24"/>
        </w:rPr>
        <w:t>,</w:t>
      </w:r>
      <w:r w:rsidR="00954E1B">
        <w:rPr>
          <w:rFonts w:ascii="Times New Roman" w:hAnsi="Times New Roman"/>
          <w:sz w:val="24"/>
          <w:szCs w:val="24"/>
        </w:rPr>
        <w:t xml:space="preserve"> </w:t>
      </w:r>
      <w:r w:rsidR="00C53B7F">
        <w:rPr>
          <w:rFonts w:ascii="Times New Roman" w:hAnsi="Times New Roman"/>
          <w:sz w:val="24"/>
          <w:szCs w:val="24"/>
        </w:rPr>
        <w:t xml:space="preserve">as well as places that have affordable housing oversupply or places that are in need </w:t>
      </w:r>
      <w:r w:rsidR="00933A32">
        <w:rPr>
          <w:rFonts w:ascii="Times New Roman" w:hAnsi="Times New Roman"/>
          <w:sz w:val="24"/>
          <w:szCs w:val="24"/>
        </w:rPr>
        <w:t xml:space="preserve">of </w:t>
      </w:r>
      <w:r w:rsidR="00C53B7F">
        <w:rPr>
          <w:rFonts w:ascii="Times New Roman" w:hAnsi="Times New Roman"/>
          <w:sz w:val="24"/>
          <w:szCs w:val="24"/>
        </w:rPr>
        <w:t>more affordable housing units.</w:t>
      </w:r>
      <w:r>
        <w:rPr>
          <w:rFonts w:ascii="Times New Roman" w:hAnsi="Times New Roman"/>
          <w:sz w:val="24"/>
          <w:szCs w:val="24"/>
        </w:rPr>
        <w:t xml:space="preserve"> </w:t>
      </w:r>
    </w:p>
    <w:p w:rsidR="00B05992" w:rsidRDefault="00731305" w:rsidP="00935D48">
      <w:pPr>
        <w:spacing w:line="480" w:lineRule="auto"/>
        <w:ind w:firstLine="720"/>
        <w:rPr>
          <w:rFonts w:ascii="Times New Roman" w:hAnsi="Times New Roman"/>
          <w:sz w:val="24"/>
          <w:szCs w:val="24"/>
        </w:rPr>
      </w:pPr>
      <w:r>
        <w:rPr>
          <w:rFonts w:ascii="Times New Roman" w:hAnsi="Times New Roman"/>
          <w:sz w:val="24"/>
          <w:szCs w:val="24"/>
        </w:rPr>
        <w:t xml:space="preserve">The </w:t>
      </w:r>
      <w:r w:rsidR="00507058">
        <w:rPr>
          <w:rFonts w:ascii="Times New Roman" w:hAnsi="Times New Roman"/>
          <w:sz w:val="24"/>
          <w:szCs w:val="24"/>
        </w:rPr>
        <w:t xml:space="preserve">conceptual </w:t>
      </w:r>
      <w:r>
        <w:rPr>
          <w:rFonts w:ascii="Times New Roman" w:hAnsi="Times New Roman"/>
          <w:sz w:val="24"/>
          <w:szCs w:val="24"/>
        </w:rPr>
        <w:t xml:space="preserve">relationship </w:t>
      </w:r>
      <w:r w:rsidR="00E350CC">
        <w:rPr>
          <w:rFonts w:ascii="Times New Roman" w:hAnsi="Times New Roman"/>
          <w:sz w:val="24"/>
          <w:szCs w:val="24"/>
        </w:rPr>
        <w:t xml:space="preserve">between </w:t>
      </w:r>
      <w:r>
        <w:rPr>
          <w:rFonts w:ascii="Times New Roman" w:hAnsi="Times New Roman"/>
          <w:sz w:val="24"/>
          <w:szCs w:val="24"/>
        </w:rPr>
        <w:t xml:space="preserve">the supply and demand of affordable housing </w:t>
      </w:r>
      <w:r w:rsidR="00507058">
        <w:rPr>
          <w:rFonts w:ascii="Times New Roman" w:hAnsi="Times New Roman"/>
          <w:sz w:val="24"/>
          <w:szCs w:val="24"/>
        </w:rPr>
        <w:t>is</w:t>
      </w:r>
      <w:r>
        <w:rPr>
          <w:rFonts w:ascii="Times New Roman" w:hAnsi="Times New Roman"/>
          <w:sz w:val="24"/>
          <w:szCs w:val="24"/>
        </w:rPr>
        <w:t xml:space="preserve"> shown in the Figure</w:t>
      </w:r>
      <w:r w:rsidR="00507058">
        <w:rPr>
          <w:rFonts w:ascii="Times New Roman" w:hAnsi="Times New Roman"/>
          <w:sz w:val="24"/>
          <w:szCs w:val="24"/>
        </w:rPr>
        <w:t xml:space="preserve"> </w:t>
      </w:r>
      <w:r>
        <w:rPr>
          <w:rFonts w:ascii="Times New Roman" w:hAnsi="Times New Roman"/>
          <w:sz w:val="24"/>
          <w:szCs w:val="24"/>
        </w:rPr>
        <w:t>4-3.</w:t>
      </w:r>
      <w:r w:rsidR="00100921" w:rsidRPr="00731305">
        <w:rPr>
          <w:rFonts w:ascii="Times New Roman" w:hAnsi="Times New Roman"/>
          <w:sz w:val="24"/>
          <w:szCs w:val="24"/>
        </w:rPr>
        <w:t xml:space="preserve"> </w:t>
      </w:r>
      <w:r w:rsidR="00507058">
        <w:rPr>
          <w:rFonts w:ascii="Times New Roman" w:hAnsi="Times New Roman"/>
          <w:sz w:val="24"/>
          <w:szCs w:val="24"/>
        </w:rPr>
        <w:t>To understand the spatial mismatch, t</w:t>
      </w:r>
      <w:r w:rsidR="00100921" w:rsidRPr="00731305">
        <w:rPr>
          <w:rFonts w:ascii="Times New Roman" w:hAnsi="Times New Roman"/>
          <w:sz w:val="24"/>
          <w:szCs w:val="24"/>
        </w:rPr>
        <w:t xml:space="preserve">wo comparisons were carried </w:t>
      </w:r>
      <w:r w:rsidR="00E350CC">
        <w:rPr>
          <w:rFonts w:ascii="Times New Roman" w:hAnsi="Times New Roman"/>
          <w:sz w:val="24"/>
          <w:szCs w:val="24"/>
        </w:rPr>
        <w:t xml:space="preserve">out </w:t>
      </w:r>
      <w:r w:rsidR="00100921" w:rsidRPr="00731305">
        <w:rPr>
          <w:rFonts w:ascii="Times New Roman" w:hAnsi="Times New Roman"/>
          <w:sz w:val="24"/>
          <w:szCs w:val="24"/>
        </w:rPr>
        <w:t>in this study. One is the comparison between the location of multi-family housing units and AHI housing units. The other is the comparison among the AHI data</w:t>
      </w:r>
      <w:r>
        <w:rPr>
          <w:rFonts w:ascii="Times New Roman" w:hAnsi="Times New Roman"/>
          <w:sz w:val="24"/>
          <w:szCs w:val="24"/>
        </w:rPr>
        <w:t>set</w:t>
      </w:r>
      <w:r w:rsidR="00100921" w:rsidRPr="00731305">
        <w:rPr>
          <w:rFonts w:ascii="Times New Roman" w:hAnsi="Times New Roman"/>
          <w:sz w:val="24"/>
          <w:szCs w:val="24"/>
        </w:rPr>
        <w:t xml:space="preserve"> by </w:t>
      </w:r>
      <w:r w:rsidR="00507058">
        <w:rPr>
          <w:rFonts w:ascii="Times New Roman" w:hAnsi="Times New Roman"/>
          <w:sz w:val="24"/>
          <w:szCs w:val="24"/>
        </w:rPr>
        <w:t xml:space="preserve">categorizing it into </w:t>
      </w:r>
      <w:r w:rsidR="00100921" w:rsidRPr="00731305">
        <w:rPr>
          <w:rFonts w:ascii="Times New Roman" w:hAnsi="Times New Roman"/>
          <w:sz w:val="24"/>
          <w:szCs w:val="24"/>
        </w:rPr>
        <w:t xml:space="preserve">different </w:t>
      </w:r>
      <w:r w:rsidR="00507058">
        <w:rPr>
          <w:rFonts w:ascii="Times New Roman" w:hAnsi="Times New Roman"/>
          <w:sz w:val="24"/>
          <w:szCs w:val="24"/>
        </w:rPr>
        <w:t xml:space="preserve">groups by </w:t>
      </w:r>
      <w:r w:rsidR="00100921" w:rsidRPr="00731305">
        <w:rPr>
          <w:rFonts w:ascii="Times New Roman" w:hAnsi="Times New Roman"/>
          <w:sz w:val="24"/>
          <w:szCs w:val="24"/>
        </w:rPr>
        <w:t>funding source</w:t>
      </w:r>
      <w:r w:rsidR="00507058">
        <w:rPr>
          <w:rFonts w:ascii="Times New Roman" w:hAnsi="Times New Roman"/>
          <w:sz w:val="24"/>
          <w:szCs w:val="24"/>
        </w:rPr>
        <w:t>s. These groups are HUD/ RD</w:t>
      </w:r>
      <w:r w:rsidR="002054C7">
        <w:rPr>
          <w:rFonts w:ascii="Times New Roman" w:hAnsi="Times New Roman"/>
          <w:sz w:val="24"/>
          <w:szCs w:val="24"/>
        </w:rPr>
        <w:t>- funded properties</w:t>
      </w:r>
      <w:r w:rsidR="00F15F56">
        <w:rPr>
          <w:rFonts w:ascii="Times New Roman" w:hAnsi="Times New Roman"/>
          <w:sz w:val="24"/>
          <w:szCs w:val="24"/>
        </w:rPr>
        <w:t xml:space="preserve"> </w:t>
      </w:r>
      <w:r w:rsidR="00507058">
        <w:rPr>
          <w:rFonts w:ascii="Times New Roman" w:hAnsi="Times New Roman"/>
          <w:sz w:val="24"/>
          <w:szCs w:val="24"/>
        </w:rPr>
        <w:t xml:space="preserve">and </w:t>
      </w:r>
      <w:r w:rsidR="00100921" w:rsidRPr="00731305">
        <w:rPr>
          <w:rFonts w:ascii="Times New Roman" w:hAnsi="Times New Roman"/>
          <w:sz w:val="24"/>
          <w:szCs w:val="24"/>
        </w:rPr>
        <w:t>LHFA</w:t>
      </w:r>
      <w:r w:rsidR="00507058">
        <w:rPr>
          <w:rFonts w:ascii="Times New Roman" w:hAnsi="Times New Roman"/>
          <w:sz w:val="24"/>
          <w:szCs w:val="24"/>
        </w:rPr>
        <w:t xml:space="preserve">/ </w:t>
      </w:r>
      <w:r w:rsidR="00100921" w:rsidRPr="00731305">
        <w:rPr>
          <w:rFonts w:ascii="Times New Roman" w:hAnsi="Times New Roman"/>
          <w:sz w:val="24"/>
          <w:szCs w:val="24"/>
        </w:rPr>
        <w:t>FHFC</w:t>
      </w:r>
      <w:r w:rsidR="002054C7">
        <w:rPr>
          <w:rFonts w:ascii="Times New Roman" w:hAnsi="Times New Roman"/>
          <w:sz w:val="24"/>
          <w:szCs w:val="24"/>
        </w:rPr>
        <w:t>-funded properties</w:t>
      </w:r>
      <w:r w:rsidR="00100921" w:rsidRPr="00731305">
        <w:rPr>
          <w:rFonts w:ascii="Times New Roman" w:hAnsi="Times New Roman"/>
          <w:sz w:val="24"/>
          <w:szCs w:val="24"/>
        </w:rPr>
        <w:t>.</w:t>
      </w:r>
      <w:r w:rsidR="00B05992">
        <w:rPr>
          <w:rFonts w:ascii="Times New Roman" w:hAnsi="Times New Roman"/>
          <w:sz w:val="24"/>
          <w:szCs w:val="24"/>
        </w:rPr>
        <w:t xml:space="preserve"> </w:t>
      </w:r>
      <w:r w:rsidR="006A41AB">
        <w:rPr>
          <w:rFonts w:ascii="Times New Roman" w:hAnsi="Times New Roman"/>
          <w:sz w:val="24"/>
          <w:szCs w:val="24"/>
        </w:rPr>
        <w:t xml:space="preserve"> </w:t>
      </w:r>
    </w:p>
    <w:p w:rsidR="00D81FC4" w:rsidRDefault="00B05992" w:rsidP="0065183C">
      <w:pPr>
        <w:spacing w:line="480" w:lineRule="auto"/>
        <w:ind w:firstLine="720"/>
        <w:rPr>
          <w:rFonts w:ascii="Times New Roman" w:hAnsi="Times New Roman"/>
          <w:sz w:val="24"/>
          <w:szCs w:val="24"/>
        </w:rPr>
      </w:pPr>
      <w:r>
        <w:rPr>
          <w:rFonts w:ascii="Times New Roman" w:hAnsi="Times New Roman"/>
          <w:sz w:val="24"/>
          <w:szCs w:val="24"/>
        </w:rPr>
        <w:t>A conflict analysis procedure is also adopted in this paper to identify spatially the balance between supply and demand as well as places of opportunity that have more supply than demand. The Land Use Conflict Identification Strateg</w:t>
      </w:r>
      <w:r w:rsidR="00724998">
        <w:rPr>
          <w:rFonts w:ascii="Times New Roman" w:hAnsi="Times New Roman"/>
          <w:sz w:val="24"/>
          <w:szCs w:val="24"/>
        </w:rPr>
        <w:t>y</w:t>
      </w:r>
      <w:r>
        <w:rPr>
          <w:rFonts w:ascii="Times New Roman" w:hAnsi="Times New Roman"/>
          <w:sz w:val="24"/>
          <w:szCs w:val="24"/>
        </w:rPr>
        <w:t xml:space="preserve"> </w:t>
      </w:r>
      <w:r w:rsidR="00724998">
        <w:rPr>
          <w:rFonts w:ascii="Times New Roman" w:hAnsi="Times New Roman"/>
          <w:sz w:val="24"/>
          <w:szCs w:val="24"/>
        </w:rPr>
        <w:t>(</w:t>
      </w:r>
      <w:r>
        <w:rPr>
          <w:rFonts w:ascii="Times New Roman" w:hAnsi="Times New Roman"/>
          <w:sz w:val="24"/>
          <w:szCs w:val="24"/>
        </w:rPr>
        <w:t>LUCIS</w:t>
      </w:r>
      <w:r w:rsidR="00724998">
        <w:rPr>
          <w:rFonts w:ascii="Times New Roman" w:hAnsi="Times New Roman"/>
          <w:sz w:val="24"/>
          <w:szCs w:val="24"/>
        </w:rPr>
        <w:t>)</w:t>
      </w:r>
      <w:r>
        <w:rPr>
          <w:rFonts w:ascii="Times New Roman" w:hAnsi="Times New Roman"/>
          <w:sz w:val="24"/>
          <w:szCs w:val="24"/>
        </w:rPr>
        <w:t xml:space="preserve"> (</w:t>
      </w:r>
      <w:r w:rsidR="00382D22">
        <w:rPr>
          <w:rFonts w:ascii="Times New Roman" w:hAnsi="Times New Roman"/>
          <w:sz w:val="24"/>
          <w:szCs w:val="24"/>
        </w:rPr>
        <w:t xml:space="preserve">Carr &amp; </w:t>
      </w:r>
      <w:r>
        <w:rPr>
          <w:rFonts w:ascii="Times New Roman" w:hAnsi="Times New Roman"/>
          <w:sz w:val="24"/>
          <w:szCs w:val="24"/>
        </w:rPr>
        <w:t>Zwick, 2007) uses suitability matrices to</w:t>
      </w:r>
      <w:r w:rsidR="006456E4">
        <w:rPr>
          <w:rFonts w:ascii="Times New Roman" w:hAnsi="Times New Roman"/>
          <w:sz w:val="24"/>
          <w:szCs w:val="24"/>
        </w:rPr>
        <w:t xml:space="preserve"> identify the conflict between a</w:t>
      </w:r>
      <w:r>
        <w:rPr>
          <w:rFonts w:ascii="Times New Roman" w:hAnsi="Times New Roman"/>
          <w:sz w:val="24"/>
          <w:szCs w:val="24"/>
        </w:rPr>
        <w:t>gricultural</w:t>
      </w:r>
      <w:r w:rsidR="006456E4">
        <w:rPr>
          <w:rFonts w:ascii="Times New Roman" w:hAnsi="Times New Roman"/>
          <w:sz w:val="24"/>
          <w:szCs w:val="24"/>
        </w:rPr>
        <w:t xml:space="preserve">, conservation and urban land uses. Similar matrices are used in this paper to analyze the </w:t>
      </w:r>
      <w:r w:rsidR="006456E4">
        <w:rPr>
          <w:rFonts w:ascii="Times New Roman" w:hAnsi="Times New Roman"/>
          <w:sz w:val="24"/>
          <w:szCs w:val="24"/>
        </w:rPr>
        <w:lastRenderedPageBreak/>
        <w:t>spatial conflict between relative concentration</w:t>
      </w:r>
      <w:r w:rsidR="00112A9C">
        <w:rPr>
          <w:rFonts w:ascii="Times New Roman" w:hAnsi="Times New Roman"/>
          <w:sz w:val="24"/>
          <w:szCs w:val="24"/>
        </w:rPr>
        <w:t>s</w:t>
      </w:r>
      <w:r w:rsidR="006456E4">
        <w:rPr>
          <w:rFonts w:ascii="Times New Roman" w:hAnsi="Times New Roman"/>
          <w:sz w:val="24"/>
          <w:szCs w:val="24"/>
        </w:rPr>
        <w:t xml:space="preserve"> of supply and demand compared to county averages.</w:t>
      </w:r>
    </w:p>
    <w:p w:rsidR="0036421D" w:rsidRDefault="0036421D" w:rsidP="0036421D">
      <w:pPr>
        <w:rPr>
          <w:rFonts w:ascii="Times New Roman" w:hAnsi="Times New Roman"/>
          <w:b/>
          <w:sz w:val="24"/>
          <w:szCs w:val="24"/>
        </w:rPr>
      </w:pPr>
      <w:r w:rsidRPr="001E15A7">
        <w:rPr>
          <w:rFonts w:ascii="Times New Roman" w:hAnsi="Times New Roman"/>
          <w:b/>
          <w:sz w:val="24"/>
          <w:szCs w:val="24"/>
        </w:rPr>
        <w:t xml:space="preserve">5 </w:t>
      </w:r>
      <w:r w:rsidR="002969B4">
        <w:rPr>
          <w:rFonts w:ascii="Times New Roman" w:hAnsi="Times New Roman"/>
          <w:b/>
          <w:sz w:val="24"/>
          <w:szCs w:val="24"/>
        </w:rPr>
        <w:t>Analysis</w:t>
      </w:r>
      <w:r w:rsidR="00595BC4">
        <w:rPr>
          <w:rFonts w:ascii="Times New Roman" w:hAnsi="Times New Roman"/>
          <w:b/>
          <w:sz w:val="24"/>
          <w:szCs w:val="24"/>
        </w:rPr>
        <w:t xml:space="preserve"> and Results</w:t>
      </w:r>
    </w:p>
    <w:p w:rsidR="00C84164" w:rsidRDefault="00F550F0" w:rsidP="00935D48">
      <w:pPr>
        <w:spacing w:line="480" w:lineRule="auto"/>
        <w:ind w:firstLine="720"/>
        <w:rPr>
          <w:rFonts w:ascii="Times New Roman" w:hAnsi="Times New Roman"/>
          <w:sz w:val="24"/>
          <w:szCs w:val="24"/>
        </w:rPr>
      </w:pPr>
      <w:r>
        <w:rPr>
          <w:rFonts w:ascii="Times New Roman" w:hAnsi="Times New Roman"/>
          <w:sz w:val="24"/>
          <w:szCs w:val="24"/>
        </w:rPr>
        <w:t>The 4-mile network distance buffer was used as an example</w:t>
      </w:r>
      <w:r w:rsidR="00BB338C">
        <w:rPr>
          <w:rFonts w:ascii="Times New Roman" w:hAnsi="Times New Roman"/>
          <w:sz w:val="24"/>
          <w:szCs w:val="24"/>
        </w:rPr>
        <w:t xml:space="preserve"> for the analysis in this paper</w:t>
      </w:r>
      <w:r w:rsidR="00EA2EEB">
        <w:rPr>
          <w:rFonts w:ascii="Times New Roman" w:hAnsi="Times New Roman"/>
          <w:sz w:val="24"/>
          <w:szCs w:val="24"/>
        </w:rPr>
        <w:t xml:space="preserve">. </w:t>
      </w:r>
      <w:r w:rsidR="00595BC4">
        <w:rPr>
          <w:rFonts w:ascii="Times New Roman" w:hAnsi="Times New Roman"/>
          <w:sz w:val="24"/>
          <w:szCs w:val="24"/>
        </w:rPr>
        <w:t xml:space="preserve">The same procedure </w:t>
      </w:r>
      <w:r w:rsidR="00FA1B84">
        <w:rPr>
          <w:rFonts w:ascii="Times New Roman" w:hAnsi="Times New Roman"/>
          <w:sz w:val="24"/>
          <w:szCs w:val="24"/>
        </w:rPr>
        <w:t xml:space="preserve">was </w:t>
      </w:r>
      <w:r w:rsidR="00595BC4">
        <w:rPr>
          <w:rFonts w:ascii="Times New Roman" w:hAnsi="Times New Roman"/>
          <w:sz w:val="24"/>
          <w:szCs w:val="24"/>
        </w:rPr>
        <w:t>also used for the walking and driving distance</w:t>
      </w:r>
      <w:r w:rsidR="00FA1B84">
        <w:rPr>
          <w:rFonts w:ascii="Times New Roman" w:hAnsi="Times New Roman"/>
          <w:sz w:val="24"/>
          <w:szCs w:val="24"/>
        </w:rPr>
        <w:t>s</w:t>
      </w:r>
      <w:r w:rsidR="00595BC4">
        <w:rPr>
          <w:rFonts w:ascii="Times New Roman" w:hAnsi="Times New Roman"/>
          <w:sz w:val="24"/>
          <w:szCs w:val="24"/>
        </w:rPr>
        <w:t xml:space="preserve">. </w:t>
      </w:r>
      <w:r w:rsidR="00EA2EEB">
        <w:rPr>
          <w:rFonts w:ascii="Times New Roman" w:hAnsi="Times New Roman"/>
          <w:sz w:val="24"/>
          <w:szCs w:val="24"/>
        </w:rPr>
        <w:t>After generating random points for Orange County, Florida, a 4-mile network distance buffer area was created for each of the</w:t>
      </w:r>
      <w:r w:rsidR="00463336">
        <w:rPr>
          <w:rFonts w:ascii="Times New Roman" w:hAnsi="Times New Roman"/>
          <w:sz w:val="24"/>
          <w:szCs w:val="24"/>
        </w:rPr>
        <w:t xml:space="preserve"> 5</w:t>
      </w:r>
      <w:r w:rsidR="00FA1B84">
        <w:rPr>
          <w:rFonts w:ascii="Times New Roman" w:hAnsi="Times New Roman"/>
          <w:sz w:val="24"/>
          <w:szCs w:val="24"/>
        </w:rPr>
        <w:t>,</w:t>
      </w:r>
      <w:r w:rsidR="00463336">
        <w:rPr>
          <w:rFonts w:ascii="Times New Roman" w:hAnsi="Times New Roman"/>
          <w:sz w:val="24"/>
          <w:szCs w:val="24"/>
        </w:rPr>
        <w:t>000</w:t>
      </w:r>
      <w:r w:rsidR="00EA2EEB">
        <w:rPr>
          <w:rFonts w:ascii="Times New Roman" w:hAnsi="Times New Roman"/>
          <w:sz w:val="24"/>
          <w:szCs w:val="24"/>
        </w:rPr>
        <w:t xml:space="preserve"> points based on the OD matrix</w:t>
      </w:r>
      <w:r w:rsidR="00EA2EEB" w:rsidRPr="00EA2EEB">
        <w:rPr>
          <w:rFonts w:ascii="Times New Roman" w:hAnsi="Times New Roman"/>
          <w:sz w:val="24"/>
          <w:szCs w:val="24"/>
        </w:rPr>
        <w:t xml:space="preserve"> </w:t>
      </w:r>
      <w:r w:rsidR="006C3294">
        <w:rPr>
          <w:rFonts w:ascii="Times New Roman" w:hAnsi="Times New Roman"/>
          <w:sz w:val="24"/>
          <w:szCs w:val="24"/>
        </w:rPr>
        <w:t xml:space="preserve">methodology. </w:t>
      </w:r>
      <w:r w:rsidR="00C64D0B">
        <w:rPr>
          <w:rFonts w:ascii="Times New Roman" w:hAnsi="Times New Roman"/>
          <w:sz w:val="24"/>
          <w:szCs w:val="24"/>
        </w:rPr>
        <w:t xml:space="preserve">Within </w:t>
      </w:r>
      <w:r w:rsidR="006C3294">
        <w:rPr>
          <w:rFonts w:ascii="Times New Roman" w:hAnsi="Times New Roman"/>
          <w:sz w:val="24"/>
          <w:szCs w:val="24"/>
        </w:rPr>
        <w:t xml:space="preserve">each 4-mile </w:t>
      </w:r>
      <w:r w:rsidR="00C20D4A">
        <w:rPr>
          <w:rFonts w:ascii="Times New Roman" w:hAnsi="Times New Roman"/>
          <w:sz w:val="24"/>
          <w:szCs w:val="24"/>
        </w:rPr>
        <w:t>service</w:t>
      </w:r>
      <w:r w:rsidR="006C3294">
        <w:rPr>
          <w:rFonts w:ascii="Times New Roman" w:hAnsi="Times New Roman"/>
          <w:sz w:val="24"/>
          <w:szCs w:val="24"/>
        </w:rPr>
        <w:t xml:space="preserve"> area, all the employment opportunities and affordable housing units were captured. </w:t>
      </w:r>
      <w:r w:rsidR="00C64D0B">
        <w:rPr>
          <w:rFonts w:ascii="Times New Roman" w:hAnsi="Times New Roman"/>
          <w:sz w:val="24"/>
          <w:szCs w:val="24"/>
        </w:rPr>
        <w:t xml:space="preserve">Using </w:t>
      </w:r>
      <w:r w:rsidR="006C3294">
        <w:rPr>
          <w:rFonts w:ascii="Times New Roman" w:hAnsi="Times New Roman"/>
          <w:sz w:val="24"/>
          <w:szCs w:val="24"/>
        </w:rPr>
        <w:t>the OD matrix, all the distance</w:t>
      </w:r>
      <w:r w:rsidR="00C64D0B">
        <w:rPr>
          <w:rFonts w:ascii="Times New Roman" w:hAnsi="Times New Roman"/>
          <w:sz w:val="24"/>
          <w:szCs w:val="24"/>
        </w:rPr>
        <w:t>s</w:t>
      </w:r>
      <w:r w:rsidR="006C3294">
        <w:rPr>
          <w:rFonts w:ascii="Times New Roman" w:hAnsi="Times New Roman"/>
          <w:sz w:val="24"/>
          <w:szCs w:val="24"/>
        </w:rPr>
        <w:t xml:space="preserve"> from housing units to the employment opportunities </w:t>
      </w:r>
      <w:r w:rsidR="00C64D0B">
        <w:rPr>
          <w:rFonts w:ascii="Times New Roman" w:hAnsi="Times New Roman"/>
          <w:sz w:val="24"/>
          <w:szCs w:val="24"/>
        </w:rPr>
        <w:t>was calculated</w:t>
      </w:r>
      <w:r w:rsidR="006C3294">
        <w:rPr>
          <w:rFonts w:ascii="Times New Roman" w:hAnsi="Times New Roman"/>
          <w:sz w:val="24"/>
          <w:szCs w:val="24"/>
        </w:rPr>
        <w:t xml:space="preserve">. After </w:t>
      </w:r>
      <w:r w:rsidR="00595BC4">
        <w:rPr>
          <w:rFonts w:ascii="Times New Roman" w:hAnsi="Times New Roman"/>
          <w:sz w:val="24"/>
          <w:szCs w:val="24"/>
        </w:rPr>
        <w:t>estimating all</w:t>
      </w:r>
      <w:r w:rsidR="006C3294">
        <w:rPr>
          <w:rFonts w:ascii="Times New Roman" w:hAnsi="Times New Roman"/>
          <w:sz w:val="24"/>
          <w:szCs w:val="24"/>
        </w:rPr>
        <w:t xml:space="preserve"> the </w:t>
      </w:r>
      <w:r w:rsidR="00C64D0B">
        <w:rPr>
          <w:rFonts w:ascii="Times New Roman" w:hAnsi="Times New Roman"/>
          <w:sz w:val="24"/>
          <w:szCs w:val="24"/>
        </w:rPr>
        <w:t>distance</w:t>
      </w:r>
      <w:r w:rsidR="00BB338C">
        <w:rPr>
          <w:rFonts w:ascii="Times New Roman" w:hAnsi="Times New Roman"/>
          <w:sz w:val="24"/>
          <w:szCs w:val="24"/>
        </w:rPr>
        <w:t xml:space="preserve"> </w:t>
      </w:r>
      <w:r w:rsidR="006C3294">
        <w:rPr>
          <w:rFonts w:ascii="Times New Roman" w:hAnsi="Times New Roman"/>
          <w:sz w:val="24"/>
          <w:szCs w:val="24"/>
        </w:rPr>
        <w:t>value</w:t>
      </w:r>
      <w:r w:rsidR="00AA3C07">
        <w:rPr>
          <w:rFonts w:ascii="Times New Roman" w:hAnsi="Times New Roman"/>
          <w:sz w:val="24"/>
          <w:szCs w:val="24"/>
        </w:rPr>
        <w:t>s</w:t>
      </w:r>
      <w:r w:rsidR="00595BC4">
        <w:rPr>
          <w:rFonts w:ascii="Times New Roman" w:hAnsi="Times New Roman"/>
          <w:sz w:val="24"/>
          <w:szCs w:val="24"/>
        </w:rPr>
        <w:t>, they are</w:t>
      </w:r>
      <w:r w:rsidR="006C3294">
        <w:rPr>
          <w:rFonts w:ascii="Times New Roman" w:hAnsi="Times New Roman"/>
          <w:sz w:val="24"/>
          <w:szCs w:val="24"/>
        </w:rPr>
        <w:t xml:space="preserve"> assigned to the corresponding random point</w:t>
      </w:r>
      <w:r w:rsidR="00C64D0B">
        <w:rPr>
          <w:rFonts w:ascii="Times New Roman" w:hAnsi="Times New Roman"/>
          <w:sz w:val="24"/>
          <w:szCs w:val="24"/>
        </w:rPr>
        <w:t>s</w:t>
      </w:r>
      <w:r w:rsidR="006C3294">
        <w:rPr>
          <w:rFonts w:ascii="Times New Roman" w:hAnsi="Times New Roman"/>
          <w:sz w:val="24"/>
          <w:szCs w:val="24"/>
        </w:rPr>
        <w:t xml:space="preserve">, </w:t>
      </w:r>
      <w:r w:rsidR="00C64D0B">
        <w:rPr>
          <w:rFonts w:ascii="Times New Roman" w:hAnsi="Times New Roman"/>
          <w:sz w:val="24"/>
          <w:szCs w:val="24"/>
        </w:rPr>
        <w:t xml:space="preserve">and </w:t>
      </w:r>
      <w:r w:rsidR="006C3294">
        <w:rPr>
          <w:rFonts w:ascii="Times New Roman" w:hAnsi="Times New Roman"/>
          <w:sz w:val="24"/>
          <w:szCs w:val="24"/>
        </w:rPr>
        <w:t>raster surface</w:t>
      </w:r>
      <w:r w:rsidR="00C64D0B">
        <w:rPr>
          <w:rFonts w:ascii="Times New Roman" w:hAnsi="Times New Roman"/>
          <w:sz w:val="24"/>
          <w:szCs w:val="24"/>
        </w:rPr>
        <w:t>s</w:t>
      </w:r>
      <w:r w:rsidR="006C3294">
        <w:rPr>
          <w:rFonts w:ascii="Times New Roman" w:hAnsi="Times New Roman"/>
          <w:sz w:val="24"/>
          <w:szCs w:val="24"/>
        </w:rPr>
        <w:t xml:space="preserve"> were created for both supply-side affordable housing </w:t>
      </w:r>
      <w:r w:rsidR="00AA3C07">
        <w:rPr>
          <w:rFonts w:ascii="Times New Roman" w:hAnsi="Times New Roman"/>
          <w:sz w:val="24"/>
          <w:szCs w:val="24"/>
        </w:rPr>
        <w:t>from</w:t>
      </w:r>
      <w:r w:rsidR="006C3294">
        <w:rPr>
          <w:rFonts w:ascii="Times New Roman" w:hAnsi="Times New Roman"/>
          <w:sz w:val="24"/>
          <w:szCs w:val="24"/>
        </w:rPr>
        <w:t xml:space="preserve"> housing data</w:t>
      </w:r>
      <w:r w:rsidR="00FC0204">
        <w:rPr>
          <w:rFonts w:ascii="Times New Roman" w:hAnsi="Times New Roman"/>
          <w:sz w:val="24"/>
          <w:szCs w:val="24"/>
        </w:rPr>
        <w:t xml:space="preserve">, and demand-side affordable housing </w:t>
      </w:r>
      <w:r w:rsidR="00AA3C07">
        <w:rPr>
          <w:rFonts w:ascii="Times New Roman" w:hAnsi="Times New Roman"/>
          <w:sz w:val="24"/>
          <w:szCs w:val="24"/>
        </w:rPr>
        <w:t>from</w:t>
      </w:r>
      <w:r w:rsidR="00FC0204">
        <w:rPr>
          <w:rFonts w:ascii="Times New Roman" w:hAnsi="Times New Roman"/>
          <w:sz w:val="24"/>
          <w:szCs w:val="24"/>
        </w:rPr>
        <w:t xml:space="preserve"> employment data. For the further</w:t>
      </w:r>
      <w:r w:rsidR="00595BC4">
        <w:rPr>
          <w:rFonts w:ascii="Times New Roman" w:hAnsi="Times New Roman"/>
          <w:sz w:val="24"/>
          <w:szCs w:val="24"/>
        </w:rPr>
        <w:t xml:space="preserve"> analysis</w:t>
      </w:r>
      <w:r w:rsidR="00FC0204">
        <w:rPr>
          <w:rFonts w:ascii="Times New Roman" w:hAnsi="Times New Roman"/>
          <w:sz w:val="24"/>
          <w:szCs w:val="24"/>
        </w:rPr>
        <w:t xml:space="preserve">, these raster data were transferred to </w:t>
      </w:r>
      <w:r w:rsidR="007506F6">
        <w:rPr>
          <w:rFonts w:ascii="Times New Roman" w:hAnsi="Times New Roman"/>
          <w:sz w:val="24"/>
          <w:szCs w:val="24"/>
        </w:rPr>
        <w:t>their</w:t>
      </w:r>
      <w:r w:rsidR="009A0F45">
        <w:rPr>
          <w:rFonts w:ascii="Times New Roman" w:hAnsi="Times New Roman"/>
          <w:sz w:val="24"/>
          <w:szCs w:val="24"/>
        </w:rPr>
        <w:t xml:space="preserve"> z</w:t>
      </w:r>
      <w:r w:rsidR="00FC0204">
        <w:rPr>
          <w:rFonts w:ascii="Times New Roman" w:hAnsi="Times New Roman"/>
          <w:sz w:val="24"/>
          <w:szCs w:val="24"/>
        </w:rPr>
        <w:t>-score</w:t>
      </w:r>
      <w:r w:rsidR="007506F6">
        <w:rPr>
          <w:rFonts w:ascii="Times New Roman" w:hAnsi="Times New Roman"/>
          <w:sz w:val="24"/>
          <w:szCs w:val="24"/>
        </w:rPr>
        <w:t>s</w:t>
      </w:r>
      <w:r w:rsidR="00FC0204">
        <w:rPr>
          <w:rFonts w:ascii="Times New Roman" w:hAnsi="Times New Roman"/>
          <w:sz w:val="24"/>
          <w:szCs w:val="24"/>
        </w:rPr>
        <w:t xml:space="preserve">. </w:t>
      </w:r>
      <w:r w:rsidR="00C84164">
        <w:rPr>
          <w:rFonts w:ascii="Times New Roman" w:hAnsi="Times New Roman"/>
          <w:sz w:val="24"/>
          <w:szCs w:val="24"/>
        </w:rPr>
        <w:t xml:space="preserve">The GIS maps shown </w:t>
      </w:r>
      <w:r w:rsidR="00FF4BF7">
        <w:rPr>
          <w:rFonts w:ascii="Times New Roman" w:hAnsi="Times New Roman"/>
          <w:sz w:val="24"/>
          <w:szCs w:val="24"/>
        </w:rPr>
        <w:t xml:space="preserve">in </w:t>
      </w:r>
      <w:r w:rsidR="007506F6">
        <w:rPr>
          <w:rFonts w:ascii="Times New Roman" w:hAnsi="Times New Roman"/>
          <w:sz w:val="24"/>
          <w:szCs w:val="24"/>
        </w:rPr>
        <w:t>A</w:t>
      </w:r>
      <w:r w:rsidR="00FF4BF7">
        <w:rPr>
          <w:rFonts w:ascii="Times New Roman" w:hAnsi="Times New Roman"/>
          <w:sz w:val="24"/>
          <w:szCs w:val="24"/>
        </w:rPr>
        <w:t>ppendix</w:t>
      </w:r>
      <w:r w:rsidR="000C2462">
        <w:rPr>
          <w:rFonts w:ascii="Times New Roman" w:hAnsi="Times New Roman"/>
          <w:sz w:val="24"/>
          <w:szCs w:val="24"/>
        </w:rPr>
        <w:t xml:space="preserve"> </w:t>
      </w:r>
      <w:proofErr w:type="gramStart"/>
      <w:r w:rsidR="000C2462">
        <w:rPr>
          <w:rFonts w:ascii="Times New Roman" w:hAnsi="Times New Roman"/>
          <w:sz w:val="24"/>
          <w:szCs w:val="24"/>
        </w:rPr>
        <w:t>A</w:t>
      </w:r>
      <w:proofErr w:type="gramEnd"/>
      <w:r w:rsidR="00FF4BF7">
        <w:rPr>
          <w:rFonts w:ascii="Times New Roman" w:hAnsi="Times New Roman"/>
          <w:sz w:val="24"/>
          <w:szCs w:val="24"/>
        </w:rPr>
        <w:t xml:space="preserve"> </w:t>
      </w:r>
      <w:r w:rsidR="007506F6">
        <w:rPr>
          <w:rFonts w:ascii="Times New Roman" w:hAnsi="Times New Roman"/>
          <w:sz w:val="24"/>
          <w:szCs w:val="24"/>
        </w:rPr>
        <w:t>show the</w:t>
      </w:r>
      <w:r w:rsidR="00C84164">
        <w:rPr>
          <w:rFonts w:ascii="Times New Roman" w:hAnsi="Times New Roman"/>
          <w:sz w:val="24"/>
          <w:szCs w:val="24"/>
        </w:rPr>
        <w:t xml:space="preserve"> 4-mile biking distance </w:t>
      </w:r>
      <w:r w:rsidR="007506F6">
        <w:rPr>
          <w:rFonts w:ascii="Times New Roman" w:hAnsi="Times New Roman"/>
          <w:sz w:val="24"/>
          <w:szCs w:val="24"/>
        </w:rPr>
        <w:t xml:space="preserve">buffers </w:t>
      </w:r>
      <w:r w:rsidR="00C84164">
        <w:rPr>
          <w:rFonts w:ascii="Times New Roman" w:hAnsi="Times New Roman"/>
          <w:sz w:val="24"/>
          <w:szCs w:val="24"/>
        </w:rPr>
        <w:t>as the examples.</w:t>
      </w:r>
    </w:p>
    <w:p w:rsidR="00EA2EEB" w:rsidRDefault="00FC0204" w:rsidP="00935D48">
      <w:pPr>
        <w:spacing w:line="480" w:lineRule="auto"/>
        <w:ind w:firstLine="720"/>
        <w:rPr>
          <w:rFonts w:ascii="Times New Roman" w:hAnsi="Times New Roman"/>
          <w:sz w:val="24"/>
          <w:szCs w:val="24"/>
        </w:rPr>
      </w:pPr>
      <w:r>
        <w:rPr>
          <w:rFonts w:ascii="Times New Roman" w:hAnsi="Times New Roman"/>
          <w:sz w:val="24"/>
          <w:szCs w:val="24"/>
        </w:rPr>
        <w:t>Figure</w:t>
      </w:r>
      <w:r w:rsidR="003C7691">
        <w:rPr>
          <w:rFonts w:ascii="Times New Roman" w:hAnsi="Times New Roman"/>
          <w:sz w:val="24"/>
          <w:szCs w:val="24"/>
        </w:rPr>
        <w:t xml:space="preserve"> </w:t>
      </w:r>
      <w:r>
        <w:rPr>
          <w:rFonts w:ascii="Times New Roman" w:hAnsi="Times New Roman"/>
          <w:sz w:val="24"/>
          <w:szCs w:val="24"/>
        </w:rPr>
        <w:t xml:space="preserve">5-1 shows the reclassified </w:t>
      </w:r>
      <w:r w:rsidR="009A0F45">
        <w:rPr>
          <w:rFonts w:ascii="Times New Roman" w:hAnsi="Times New Roman"/>
          <w:sz w:val="24"/>
          <w:szCs w:val="24"/>
        </w:rPr>
        <w:t>z</w:t>
      </w:r>
      <w:r>
        <w:rPr>
          <w:rFonts w:ascii="Times New Roman" w:hAnsi="Times New Roman"/>
          <w:sz w:val="24"/>
          <w:szCs w:val="24"/>
        </w:rPr>
        <w:t xml:space="preserve">-score </w:t>
      </w:r>
      <w:r w:rsidR="00A635EA">
        <w:rPr>
          <w:rFonts w:ascii="Times New Roman" w:hAnsi="Times New Roman"/>
          <w:sz w:val="24"/>
          <w:szCs w:val="24"/>
        </w:rPr>
        <w:t>mapping for</w:t>
      </w:r>
      <w:r>
        <w:rPr>
          <w:rFonts w:ascii="Times New Roman" w:hAnsi="Times New Roman"/>
          <w:sz w:val="24"/>
          <w:szCs w:val="24"/>
        </w:rPr>
        <w:t xml:space="preserve"> each of the supply-side</w:t>
      </w:r>
      <w:r w:rsidR="00C84164">
        <w:rPr>
          <w:rFonts w:ascii="Times New Roman" w:hAnsi="Times New Roman"/>
          <w:sz w:val="24"/>
          <w:szCs w:val="24"/>
        </w:rPr>
        <w:t xml:space="preserve"> affordable housing raster</w:t>
      </w:r>
      <w:r w:rsidR="00E85395">
        <w:rPr>
          <w:rFonts w:ascii="Times New Roman" w:hAnsi="Times New Roman"/>
          <w:sz w:val="24"/>
          <w:szCs w:val="24"/>
        </w:rPr>
        <w:t xml:space="preserve">. </w:t>
      </w:r>
      <w:r w:rsidR="00C84164">
        <w:rPr>
          <w:rFonts w:ascii="Times New Roman" w:hAnsi="Times New Roman"/>
          <w:sz w:val="24"/>
          <w:szCs w:val="24"/>
        </w:rPr>
        <w:t xml:space="preserve">The analyses for supply-side </w:t>
      </w:r>
      <w:r w:rsidR="00FF4BF7">
        <w:rPr>
          <w:rFonts w:ascii="Times New Roman" w:hAnsi="Times New Roman"/>
          <w:sz w:val="24"/>
          <w:szCs w:val="24"/>
        </w:rPr>
        <w:t>housing were</w:t>
      </w:r>
      <w:r w:rsidR="00C84164">
        <w:rPr>
          <w:rFonts w:ascii="Times New Roman" w:hAnsi="Times New Roman"/>
          <w:sz w:val="24"/>
          <w:szCs w:val="24"/>
        </w:rPr>
        <w:t xml:space="preserve"> </w:t>
      </w:r>
      <w:r w:rsidR="009A0F45">
        <w:rPr>
          <w:rFonts w:ascii="Times New Roman" w:hAnsi="Times New Roman"/>
          <w:sz w:val="24"/>
          <w:szCs w:val="24"/>
        </w:rPr>
        <w:t xml:space="preserve">for </w:t>
      </w:r>
      <w:r w:rsidR="00C84164">
        <w:rPr>
          <w:rFonts w:ascii="Times New Roman" w:hAnsi="Times New Roman"/>
          <w:sz w:val="24"/>
          <w:szCs w:val="24"/>
        </w:rPr>
        <w:t xml:space="preserve">multi-family </w:t>
      </w:r>
      <w:r w:rsidR="001413AC">
        <w:rPr>
          <w:rFonts w:ascii="Times New Roman" w:hAnsi="Times New Roman"/>
          <w:sz w:val="24"/>
          <w:szCs w:val="24"/>
        </w:rPr>
        <w:t>housing units</w:t>
      </w:r>
      <w:r w:rsidR="00C84164">
        <w:rPr>
          <w:rFonts w:ascii="Times New Roman" w:hAnsi="Times New Roman"/>
          <w:sz w:val="24"/>
          <w:szCs w:val="24"/>
        </w:rPr>
        <w:t xml:space="preserve">, AHI </w:t>
      </w:r>
      <w:r w:rsidR="001413AC">
        <w:rPr>
          <w:rFonts w:ascii="Times New Roman" w:hAnsi="Times New Roman"/>
          <w:sz w:val="24"/>
          <w:szCs w:val="24"/>
        </w:rPr>
        <w:t>housing units</w:t>
      </w:r>
      <w:r w:rsidR="00C84164">
        <w:rPr>
          <w:rFonts w:ascii="Times New Roman" w:hAnsi="Times New Roman"/>
          <w:sz w:val="24"/>
          <w:szCs w:val="24"/>
        </w:rPr>
        <w:t>, HUD</w:t>
      </w:r>
      <w:r w:rsidR="008C6888">
        <w:rPr>
          <w:rFonts w:ascii="Times New Roman" w:hAnsi="Times New Roman"/>
          <w:sz w:val="24"/>
          <w:szCs w:val="24"/>
        </w:rPr>
        <w:t>/RD</w:t>
      </w:r>
      <w:r w:rsidR="00C84164">
        <w:rPr>
          <w:rFonts w:ascii="Times New Roman" w:hAnsi="Times New Roman"/>
          <w:sz w:val="24"/>
          <w:szCs w:val="24"/>
        </w:rPr>
        <w:t xml:space="preserve"> </w:t>
      </w:r>
      <w:r w:rsidR="001413AC">
        <w:rPr>
          <w:rFonts w:ascii="Times New Roman" w:hAnsi="Times New Roman"/>
          <w:sz w:val="24"/>
          <w:szCs w:val="24"/>
        </w:rPr>
        <w:t>funded housing units</w:t>
      </w:r>
      <w:r w:rsidR="00C84164">
        <w:rPr>
          <w:rFonts w:ascii="Times New Roman" w:hAnsi="Times New Roman"/>
          <w:sz w:val="24"/>
          <w:szCs w:val="24"/>
        </w:rPr>
        <w:t xml:space="preserve">, and FHFC/LHFA </w:t>
      </w:r>
      <w:r w:rsidR="001413AC">
        <w:rPr>
          <w:rFonts w:ascii="Times New Roman" w:hAnsi="Times New Roman"/>
          <w:sz w:val="24"/>
          <w:szCs w:val="24"/>
        </w:rPr>
        <w:t>funded housing units</w:t>
      </w:r>
      <w:r w:rsidR="00C84164">
        <w:rPr>
          <w:rFonts w:ascii="Times New Roman" w:hAnsi="Times New Roman"/>
          <w:sz w:val="24"/>
          <w:szCs w:val="24"/>
        </w:rPr>
        <w:t>. The la</w:t>
      </w:r>
      <w:r w:rsidR="001413AC">
        <w:rPr>
          <w:rFonts w:ascii="Times New Roman" w:hAnsi="Times New Roman"/>
          <w:sz w:val="24"/>
          <w:szCs w:val="24"/>
        </w:rPr>
        <w:t>tter</w:t>
      </w:r>
      <w:r w:rsidR="00C84164">
        <w:rPr>
          <w:rFonts w:ascii="Times New Roman" w:hAnsi="Times New Roman"/>
          <w:sz w:val="24"/>
          <w:szCs w:val="24"/>
        </w:rPr>
        <w:t xml:space="preserve"> two data were from AHI data but separated </w:t>
      </w:r>
      <w:r w:rsidR="00FF4BF7">
        <w:rPr>
          <w:rFonts w:ascii="Times New Roman" w:hAnsi="Times New Roman"/>
          <w:sz w:val="24"/>
          <w:szCs w:val="24"/>
        </w:rPr>
        <w:t xml:space="preserve">according to </w:t>
      </w:r>
      <w:r w:rsidR="00C84164">
        <w:rPr>
          <w:rFonts w:ascii="Times New Roman" w:hAnsi="Times New Roman"/>
          <w:sz w:val="24"/>
          <w:szCs w:val="24"/>
        </w:rPr>
        <w:t>the criteria of different funding sources.</w:t>
      </w:r>
      <w:r>
        <w:rPr>
          <w:rFonts w:ascii="Times New Roman" w:hAnsi="Times New Roman"/>
          <w:sz w:val="24"/>
          <w:szCs w:val="24"/>
        </w:rPr>
        <w:t xml:space="preserve"> </w:t>
      </w:r>
      <w:r w:rsidR="00EB0FB5">
        <w:rPr>
          <w:rFonts w:ascii="Times New Roman" w:hAnsi="Times New Roman"/>
          <w:sz w:val="24"/>
          <w:szCs w:val="24"/>
        </w:rPr>
        <w:t xml:space="preserve">The maps in Figure 5-1 show areas shaded in light grey representing where opportunity for housing units was equal or greater than the average opportunity for affordable housing units for the county as a whole.  These areas are where z-scores are greater or equal to zero.  Conversely, </w:t>
      </w:r>
      <w:r w:rsidR="009F28BE">
        <w:rPr>
          <w:rFonts w:ascii="Times New Roman" w:hAnsi="Times New Roman"/>
          <w:sz w:val="24"/>
          <w:szCs w:val="24"/>
        </w:rPr>
        <w:t>w</w:t>
      </w:r>
      <w:r w:rsidR="00EB0FB5">
        <w:rPr>
          <w:rFonts w:ascii="Times New Roman" w:hAnsi="Times New Roman"/>
          <w:sz w:val="24"/>
          <w:szCs w:val="24"/>
        </w:rPr>
        <w:t xml:space="preserve">here z-scores were less </w:t>
      </w:r>
      <w:r w:rsidR="00EB0FB5">
        <w:rPr>
          <w:rFonts w:ascii="Times New Roman" w:hAnsi="Times New Roman"/>
          <w:sz w:val="24"/>
          <w:szCs w:val="24"/>
        </w:rPr>
        <w:lastRenderedPageBreak/>
        <w:t xml:space="preserve">than zero, areas had less than average opportunities for affordable housing units, </w:t>
      </w:r>
      <w:r w:rsidR="004A7906">
        <w:rPr>
          <w:rFonts w:ascii="Times New Roman" w:hAnsi="Times New Roman"/>
          <w:sz w:val="24"/>
          <w:szCs w:val="24"/>
        </w:rPr>
        <w:t>and are shaded on the map in dark grey.</w:t>
      </w:r>
    </w:p>
    <w:p w:rsidR="00C84164" w:rsidRDefault="008E6A3B" w:rsidP="00935D48">
      <w:pPr>
        <w:spacing w:line="480" w:lineRule="auto"/>
        <w:ind w:firstLine="720"/>
        <w:rPr>
          <w:rFonts w:ascii="Times New Roman" w:hAnsi="Times New Roman"/>
          <w:sz w:val="24"/>
          <w:szCs w:val="24"/>
        </w:rPr>
      </w:pPr>
      <w:r>
        <w:rPr>
          <w:rFonts w:ascii="Times New Roman" w:hAnsi="Times New Roman"/>
          <w:sz w:val="24"/>
          <w:szCs w:val="24"/>
        </w:rPr>
        <w:t>T</w:t>
      </w:r>
      <w:r w:rsidR="00BB338C">
        <w:rPr>
          <w:rFonts w:ascii="Times New Roman" w:hAnsi="Times New Roman"/>
          <w:sz w:val="24"/>
          <w:szCs w:val="24"/>
        </w:rPr>
        <w:t>he supply-side raster</w:t>
      </w:r>
      <w:r w:rsidR="00345923">
        <w:rPr>
          <w:rFonts w:ascii="Times New Roman" w:hAnsi="Times New Roman"/>
          <w:sz w:val="24"/>
          <w:szCs w:val="24"/>
        </w:rPr>
        <w:t xml:space="preserve"> grids </w:t>
      </w:r>
      <w:r w:rsidR="005279B9">
        <w:rPr>
          <w:rFonts w:ascii="Times New Roman" w:hAnsi="Times New Roman"/>
          <w:sz w:val="24"/>
          <w:szCs w:val="24"/>
        </w:rPr>
        <w:t>are used in a comparison</w:t>
      </w:r>
      <w:r w:rsidR="00C84164">
        <w:rPr>
          <w:rFonts w:ascii="Times New Roman" w:hAnsi="Times New Roman"/>
          <w:sz w:val="24"/>
          <w:szCs w:val="24"/>
        </w:rPr>
        <w:t xml:space="preserve"> with demand-side raster</w:t>
      </w:r>
      <w:r w:rsidR="00345923">
        <w:rPr>
          <w:rFonts w:ascii="Times New Roman" w:hAnsi="Times New Roman"/>
          <w:sz w:val="24"/>
          <w:szCs w:val="24"/>
        </w:rPr>
        <w:t xml:space="preserve"> grids</w:t>
      </w:r>
      <w:r w:rsidR="00C84164">
        <w:rPr>
          <w:rFonts w:ascii="Times New Roman" w:hAnsi="Times New Roman"/>
          <w:sz w:val="24"/>
          <w:szCs w:val="24"/>
        </w:rPr>
        <w:t xml:space="preserve"> </w:t>
      </w:r>
      <w:r>
        <w:rPr>
          <w:rFonts w:ascii="Times New Roman" w:hAnsi="Times New Roman"/>
          <w:sz w:val="24"/>
          <w:szCs w:val="24"/>
        </w:rPr>
        <w:t xml:space="preserve">created </w:t>
      </w:r>
      <w:r w:rsidR="00C84164">
        <w:rPr>
          <w:rFonts w:ascii="Times New Roman" w:hAnsi="Times New Roman"/>
          <w:sz w:val="24"/>
          <w:szCs w:val="24"/>
        </w:rPr>
        <w:t xml:space="preserve">from employment data </w:t>
      </w:r>
      <w:r w:rsidR="009435D2">
        <w:rPr>
          <w:rFonts w:ascii="Times New Roman" w:hAnsi="Times New Roman"/>
          <w:sz w:val="24"/>
          <w:szCs w:val="24"/>
        </w:rPr>
        <w:t>to see the spatial mismatch</w:t>
      </w:r>
      <w:r>
        <w:rPr>
          <w:rFonts w:ascii="Times New Roman" w:hAnsi="Times New Roman"/>
          <w:sz w:val="24"/>
          <w:szCs w:val="24"/>
        </w:rPr>
        <w:t xml:space="preserve"> between them</w:t>
      </w:r>
      <w:r w:rsidR="00C84164">
        <w:rPr>
          <w:rFonts w:ascii="Times New Roman" w:hAnsi="Times New Roman"/>
          <w:sz w:val="24"/>
          <w:szCs w:val="24"/>
        </w:rPr>
        <w:t xml:space="preserve">. In each comparison, there </w:t>
      </w:r>
      <w:r w:rsidR="009435D2">
        <w:rPr>
          <w:rFonts w:ascii="Times New Roman" w:hAnsi="Times New Roman"/>
          <w:sz w:val="24"/>
          <w:szCs w:val="24"/>
        </w:rPr>
        <w:t>were two outputs according to the two levels</w:t>
      </w:r>
      <w:r w:rsidR="00C84164">
        <w:rPr>
          <w:rFonts w:ascii="Times New Roman" w:hAnsi="Times New Roman"/>
          <w:sz w:val="24"/>
          <w:szCs w:val="24"/>
        </w:rPr>
        <w:t xml:space="preserve"> of income</w:t>
      </w:r>
      <w:r w:rsidR="009435D2">
        <w:rPr>
          <w:rFonts w:ascii="Times New Roman" w:hAnsi="Times New Roman"/>
          <w:sz w:val="24"/>
          <w:szCs w:val="24"/>
        </w:rPr>
        <w:t xml:space="preserve">, the </w:t>
      </w:r>
      <w:r w:rsidR="003C7691">
        <w:rPr>
          <w:rFonts w:ascii="Times New Roman" w:hAnsi="Times New Roman"/>
          <w:sz w:val="24"/>
          <w:szCs w:val="24"/>
        </w:rPr>
        <w:t>v</w:t>
      </w:r>
      <w:r w:rsidR="009435D2">
        <w:rPr>
          <w:rFonts w:ascii="Times New Roman" w:hAnsi="Times New Roman"/>
          <w:sz w:val="24"/>
          <w:szCs w:val="24"/>
        </w:rPr>
        <w:t xml:space="preserve">ery </w:t>
      </w:r>
      <w:r w:rsidR="003C7691">
        <w:rPr>
          <w:rFonts w:ascii="Times New Roman" w:hAnsi="Times New Roman"/>
          <w:sz w:val="24"/>
          <w:szCs w:val="24"/>
        </w:rPr>
        <w:t>l</w:t>
      </w:r>
      <w:r w:rsidR="009435D2">
        <w:rPr>
          <w:rFonts w:ascii="Times New Roman" w:hAnsi="Times New Roman"/>
          <w:sz w:val="24"/>
          <w:szCs w:val="24"/>
        </w:rPr>
        <w:t>ow-</w:t>
      </w:r>
      <w:r w:rsidR="003C7691">
        <w:rPr>
          <w:rFonts w:ascii="Times New Roman" w:hAnsi="Times New Roman"/>
          <w:sz w:val="24"/>
          <w:szCs w:val="24"/>
        </w:rPr>
        <w:t>i</w:t>
      </w:r>
      <w:r w:rsidR="009435D2">
        <w:rPr>
          <w:rFonts w:ascii="Times New Roman" w:hAnsi="Times New Roman"/>
          <w:sz w:val="24"/>
          <w:szCs w:val="24"/>
        </w:rPr>
        <w:t xml:space="preserve">ncome (VLI) and the </w:t>
      </w:r>
      <w:r w:rsidR="003C7691">
        <w:rPr>
          <w:rFonts w:ascii="Times New Roman" w:hAnsi="Times New Roman"/>
          <w:sz w:val="24"/>
          <w:szCs w:val="24"/>
        </w:rPr>
        <w:t>l</w:t>
      </w:r>
      <w:r w:rsidR="009435D2">
        <w:rPr>
          <w:rFonts w:ascii="Times New Roman" w:hAnsi="Times New Roman"/>
          <w:sz w:val="24"/>
          <w:szCs w:val="24"/>
        </w:rPr>
        <w:t>ow-</w:t>
      </w:r>
      <w:r w:rsidR="003C7691">
        <w:rPr>
          <w:rFonts w:ascii="Times New Roman" w:hAnsi="Times New Roman"/>
          <w:sz w:val="24"/>
          <w:szCs w:val="24"/>
        </w:rPr>
        <w:t>i</w:t>
      </w:r>
      <w:r w:rsidR="009435D2">
        <w:rPr>
          <w:rFonts w:ascii="Times New Roman" w:hAnsi="Times New Roman"/>
          <w:sz w:val="24"/>
          <w:szCs w:val="24"/>
        </w:rPr>
        <w:t>ncome (LI)</w:t>
      </w:r>
      <w:r w:rsidR="00B67494">
        <w:rPr>
          <w:rFonts w:ascii="Times New Roman" w:hAnsi="Times New Roman"/>
          <w:sz w:val="24"/>
          <w:szCs w:val="24"/>
        </w:rPr>
        <w:t>. Figure</w:t>
      </w:r>
      <w:r w:rsidR="00D477F1">
        <w:rPr>
          <w:rFonts w:ascii="Times New Roman" w:hAnsi="Times New Roman"/>
          <w:sz w:val="24"/>
          <w:szCs w:val="24"/>
        </w:rPr>
        <w:t>s 5-2</w:t>
      </w:r>
      <w:r w:rsidR="003C7691">
        <w:rPr>
          <w:rFonts w:ascii="Times New Roman" w:hAnsi="Times New Roman"/>
          <w:sz w:val="24"/>
          <w:szCs w:val="24"/>
        </w:rPr>
        <w:t xml:space="preserve"> through</w:t>
      </w:r>
      <w:r w:rsidR="00D477F1">
        <w:rPr>
          <w:rFonts w:ascii="Times New Roman" w:hAnsi="Times New Roman"/>
          <w:sz w:val="24"/>
          <w:szCs w:val="24"/>
        </w:rPr>
        <w:t xml:space="preserve"> 5.5 </w:t>
      </w:r>
      <w:proofErr w:type="gramStart"/>
      <w:r w:rsidR="00B67494">
        <w:rPr>
          <w:rFonts w:ascii="Times New Roman" w:hAnsi="Times New Roman"/>
          <w:sz w:val="24"/>
          <w:szCs w:val="24"/>
        </w:rPr>
        <w:t>show</w:t>
      </w:r>
      <w:proofErr w:type="gramEnd"/>
      <w:r w:rsidR="009435D2">
        <w:rPr>
          <w:rFonts w:ascii="Times New Roman" w:hAnsi="Times New Roman"/>
          <w:sz w:val="24"/>
          <w:szCs w:val="24"/>
        </w:rPr>
        <w:t xml:space="preserve"> </w:t>
      </w:r>
      <w:r w:rsidR="00FF4BF7">
        <w:rPr>
          <w:rFonts w:ascii="Times New Roman" w:hAnsi="Times New Roman"/>
          <w:sz w:val="24"/>
          <w:szCs w:val="24"/>
        </w:rPr>
        <w:t>the mismatch between the existing housing units</w:t>
      </w:r>
      <w:r w:rsidR="00D477F1">
        <w:rPr>
          <w:rFonts w:ascii="Times New Roman" w:hAnsi="Times New Roman"/>
          <w:sz w:val="24"/>
          <w:szCs w:val="24"/>
        </w:rPr>
        <w:t>,</w:t>
      </w:r>
      <w:r w:rsidR="00FF4BF7">
        <w:rPr>
          <w:rFonts w:ascii="Times New Roman" w:hAnsi="Times New Roman"/>
          <w:sz w:val="24"/>
          <w:szCs w:val="24"/>
        </w:rPr>
        <w:t xml:space="preserve"> which were supplied for VLI and LI population</w:t>
      </w:r>
      <w:r w:rsidR="00D477F1">
        <w:rPr>
          <w:rFonts w:ascii="Times New Roman" w:hAnsi="Times New Roman"/>
          <w:sz w:val="24"/>
          <w:szCs w:val="24"/>
        </w:rPr>
        <w:t xml:space="preserve">s, </w:t>
      </w:r>
      <w:r w:rsidR="00FF4BF7">
        <w:rPr>
          <w:rFonts w:ascii="Times New Roman" w:hAnsi="Times New Roman"/>
          <w:sz w:val="24"/>
          <w:szCs w:val="24"/>
        </w:rPr>
        <w:t xml:space="preserve">and the need </w:t>
      </w:r>
      <w:r w:rsidR="003C7691">
        <w:rPr>
          <w:rFonts w:ascii="Times New Roman" w:hAnsi="Times New Roman"/>
          <w:sz w:val="24"/>
          <w:szCs w:val="24"/>
        </w:rPr>
        <w:t>for</w:t>
      </w:r>
      <w:r w:rsidR="00FF4BF7">
        <w:rPr>
          <w:rFonts w:ascii="Times New Roman" w:hAnsi="Times New Roman"/>
          <w:sz w:val="24"/>
          <w:szCs w:val="24"/>
        </w:rPr>
        <w:t xml:space="preserve"> housing units for </w:t>
      </w:r>
      <w:r w:rsidR="00D477F1">
        <w:rPr>
          <w:rFonts w:ascii="Times New Roman" w:hAnsi="Times New Roman"/>
          <w:sz w:val="24"/>
          <w:szCs w:val="24"/>
        </w:rPr>
        <w:t xml:space="preserve">those </w:t>
      </w:r>
      <w:r w:rsidR="00FF4BF7">
        <w:rPr>
          <w:rFonts w:ascii="Times New Roman" w:hAnsi="Times New Roman"/>
          <w:sz w:val="24"/>
          <w:szCs w:val="24"/>
        </w:rPr>
        <w:t>population</w:t>
      </w:r>
      <w:r w:rsidR="00D477F1">
        <w:rPr>
          <w:rFonts w:ascii="Times New Roman" w:hAnsi="Times New Roman"/>
          <w:sz w:val="24"/>
          <w:szCs w:val="24"/>
        </w:rPr>
        <w:t>s</w:t>
      </w:r>
      <w:r w:rsidR="00FF4BF7">
        <w:rPr>
          <w:rFonts w:ascii="Times New Roman" w:hAnsi="Times New Roman"/>
          <w:sz w:val="24"/>
          <w:szCs w:val="24"/>
        </w:rPr>
        <w:t>.</w:t>
      </w:r>
    </w:p>
    <w:p w:rsidR="000C2462" w:rsidRDefault="00D477F1" w:rsidP="00935D48">
      <w:pPr>
        <w:spacing w:line="480" w:lineRule="auto"/>
        <w:ind w:firstLine="720"/>
        <w:rPr>
          <w:rFonts w:ascii="Times New Roman" w:hAnsi="Times New Roman"/>
          <w:sz w:val="24"/>
          <w:szCs w:val="24"/>
        </w:rPr>
      </w:pPr>
      <w:r>
        <w:rPr>
          <w:rFonts w:ascii="Times New Roman" w:hAnsi="Times New Roman"/>
          <w:sz w:val="24"/>
          <w:szCs w:val="24"/>
        </w:rPr>
        <w:t>The analysis was repeated</w:t>
      </w:r>
      <w:r w:rsidR="000C2462">
        <w:rPr>
          <w:rFonts w:ascii="Times New Roman" w:hAnsi="Times New Roman"/>
          <w:sz w:val="24"/>
          <w:szCs w:val="24"/>
        </w:rPr>
        <w:t xml:space="preserve"> for</w:t>
      </w:r>
      <w:r>
        <w:rPr>
          <w:rFonts w:ascii="Times New Roman" w:hAnsi="Times New Roman"/>
          <w:sz w:val="24"/>
          <w:szCs w:val="24"/>
        </w:rPr>
        <w:t xml:space="preserve"> the</w:t>
      </w:r>
      <w:r w:rsidR="000C2462">
        <w:rPr>
          <w:rFonts w:ascii="Times New Roman" w:hAnsi="Times New Roman"/>
          <w:sz w:val="24"/>
          <w:szCs w:val="24"/>
        </w:rPr>
        <w:t xml:space="preserve"> 0.5-mile walking distance network and 10-mile driving distance buffer</w:t>
      </w:r>
      <w:r>
        <w:rPr>
          <w:rFonts w:ascii="Times New Roman" w:hAnsi="Times New Roman"/>
          <w:sz w:val="24"/>
          <w:szCs w:val="24"/>
        </w:rPr>
        <w:t>s</w:t>
      </w:r>
      <w:r w:rsidR="000C2462">
        <w:rPr>
          <w:rFonts w:ascii="Times New Roman" w:hAnsi="Times New Roman"/>
          <w:sz w:val="24"/>
          <w:szCs w:val="24"/>
        </w:rPr>
        <w:t>.</w:t>
      </w:r>
    </w:p>
    <w:p w:rsidR="000C2462" w:rsidRDefault="00FF4BF7" w:rsidP="00935D48">
      <w:pPr>
        <w:spacing w:line="480" w:lineRule="auto"/>
        <w:ind w:firstLine="720"/>
        <w:rPr>
          <w:rFonts w:ascii="Times New Roman" w:hAnsi="Times New Roman"/>
          <w:sz w:val="24"/>
          <w:szCs w:val="24"/>
        </w:rPr>
      </w:pPr>
      <w:r>
        <w:rPr>
          <w:rFonts w:ascii="Times New Roman" w:hAnsi="Times New Roman"/>
          <w:sz w:val="24"/>
          <w:szCs w:val="24"/>
        </w:rPr>
        <w:t xml:space="preserve">Tables were generated </w:t>
      </w:r>
      <w:r w:rsidR="00D15D68">
        <w:rPr>
          <w:rFonts w:ascii="Times New Roman" w:hAnsi="Times New Roman"/>
          <w:sz w:val="24"/>
          <w:szCs w:val="24"/>
        </w:rPr>
        <w:t>summarizing the</w:t>
      </w:r>
      <w:r>
        <w:rPr>
          <w:rFonts w:ascii="Times New Roman" w:hAnsi="Times New Roman"/>
          <w:sz w:val="24"/>
          <w:szCs w:val="24"/>
        </w:rPr>
        <w:t xml:space="preserve"> comparisons</w:t>
      </w:r>
      <w:r w:rsidR="00D15D68">
        <w:rPr>
          <w:rFonts w:ascii="Times New Roman" w:hAnsi="Times New Roman"/>
          <w:sz w:val="24"/>
          <w:szCs w:val="24"/>
        </w:rPr>
        <w:t>,</w:t>
      </w:r>
      <w:r>
        <w:rPr>
          <w:rFonts w:ascii="Times New Roman" w:hAnsi="Times New Roman"/>
          <w:sz w:val="24"/>
          <w:szCs w:val="24"/>
        </w:rPr>
        <w:t xml:space="preserve"> as shown in </w:t>
      </w:r>
      <w:r w:rsidR="002C179F">
        <w:rPr>
          <w:rFonts w:ascii="Times New Roman" w:hAnsi="Times New Roman"/>
          <w:sz w:val="24"/>
          <w:szCs w:val="24"/>
        </w:rPr>
        <w:t>A</w:t>
      </w:r>
      <w:r>
        <w:rPr>
          <w:rFonts w:ascii="Times New Roman" w:hAnsi="Times New Roman"/>
          <w:sz w:val="24"/>
          <w:szCs w:val="24"/>
        </w:rPr>
        <w:t>ppendix</w:t>
      </w:r>
      <w:r w:rsidR="000C2462">
        <w:rPr>
          <w:rFonts w:ascii="Times New Roman" w:hAnsi="Times New Roman"/>
          <w:sz w:val="24"/>
          <w:szCs w:val="24"/>
        </w:rPr>
        <w:t xml:space="preserve"> B</w:t>
      </w:r>
      <w:r>
        <w:rPr>
          <w:rFonts w:ascii="Times New Roman" w:hAnsi="Times New Roman"/>
          <w:sz w:val="24"/>
          <w:szCs w:val="24"/>
        </w:rPr>
        <w:t>.</w:t>
      </w:r>
      <w:r w:rsidR="00891489" w:rsidRPr="00891489">
        <w:t xml:space="preserve"> </w:t>
      </w:r>
      <w:r w:rsidR="00891489" w:rsidRPr="00891489">
        <w:rPr>
          <w:rFonts w:ascii="Times New Roman" w:hAnsi="Times New Roman"/>
          <w:sz w:val="24"/>
          <w:szCs w:val="24"/>
        </w:rPr>
        <w:t>All</w:t>
      </w:r>
      <w:r w:rsidR="00891489">
        <w:rPr>
          <w:rFonts w:ascii="Times New Roman" w:hAnsi="Times New Roman"/>
          <w:sz w:val="24"/>
          <w:szCs w:val="24"/>
        </w:rPr>
        <w:t xml:space="preserve"> the scores for the percentage of mismatch in the tables were obtained </w:t>
      </w:r>
      <w:r w:rsidR="00D15D68">
        <w:rPr>
          <w:rFonts w:ascii="Times New Roman" w:hAnsi="Times New Roman"/>
          <w:sz w:val="24"/>
          <w:szCs w:val="24"/>
        </w:rPr>
        <w:t xml:space="preserve">by </w:t>
      </w:r>
      <w:r w:rsidR="00891489">
        <w:rPr>
          <w:rFonts w:ascii="Times New Roman" w:hAnsi="Times New Roman"/>
          <w:sz w:val="24"/>
          <w:szCs w:val="24"/>
        </w:rPr>
        <w:t>c</w:t>
      </w:r>
      <w:r w:rsidR="00891489" w:rsidRPr="00891489">
        <w:rPr>
          <w:rFonts w:ascii="Times New Roman" w:hAnsi="Times New Roman"/>
          <w:sz w:val="24"/>
          <w:szCs w:val="24"/>
        </w:rPr>
        <w:t>omparing to average</w:t>
      </w:r>
      <w:r w:rsidR="00891489">
        <w:rPr>
          <w:rFonts w:ascii="Times New Roman" w:hAnsi="Times New Roman"/>
          <w:sz w:val="24"/>
          <w:szCs w:val="24"/>
        </w:rPr>
        <w:t xml:space="preserve"> </w:t>
      </w:r>
      <w:r w:rsidR="00935D48">
        <w:rPr>
          <w:rFonts w:ascii="Times New Roman" w:hAnsi="Times New Roman"/>
          <w:sz w:val="24"/>
          <w:szCs w:val="24"/>
        </w:rPr>
        <w:t xml:space="preserve">opportunity </w:t>
      </w:r>
      <w:r w:rsidR="00891489">
        <w:rPr>
          <w:rFonts w:ascii="Times New Roman" w:hAnsi="Times New Roman"/>
          <w:sz w:val="24"/>
          <w:szCs w:val="24"/>
        </w:rPr>
        <w:t xml:space="preserve">value </w:t>
      </w:r>
      <w:r w:rsidR="001904ED">
        <w:rPr>
          <w:rFonts w:ascii="Times New Roman" w:hAnsi="Times New Roman"/>
          <w:sz w:val="24"/>
          <w:szCs w:val="24"/>
        </w:rPr>
        <w:t xml:space="preserve">and </w:t>
      </w:r>
      <w:r w:rsidR="00891489">
        <w:rPr>
          <w:rFonts w:ascii="Times New Roman" w:hAnsi="Times New Roman"/>
          <w:sz w:val="24"/>
          <w:szCs w:val="24"/>
        </w:rPr>
        <w:t xml:space="preserve">where they were equal or above the average. </w:t>
      </w:r>
    </w:p>
    <w:p w:rsidR="002969B4" w:rsidRDefault="00B67494" w:rsidP="00B67494">
      <w:pPr>
        <w:spacing w:line="480" w:lineRule="auto"/>
        <w:rPr>
          <w:rFonts w:ascii="Times New Roman" w:hAnsi="Times New Roman"/>
          <w:sz w:val="24"/>
          <w:szCs w:val="24"/>
        </w:rPr>
      </w:pPr>
      <w:r>
        <w:rPr>
          <w:rFonts w:ascii="Times New Roman" w:hAnsi="Times New Roman"/>
          <w:sz w:val="24"/>
          <w:szCs w:val="24"/>
        </w:rPr>
        <w:t xml:space="preserve">5.1 </w:t>
      </w:r>
      <w:r w:rsidR="002969B4" w:rsidRPr="000C2462">
        <w:rPr>
          <w:rFonts w:ascii="Times New Roman" w:hAnsi="Times New Roman"/>
          <w:sz w:val="24"/>
          <w:szCs w:val="24"/>
        </w:rPr>
        <w:t>Comparison I: Mismatch between Housing Units of Multifamily and AHI</w:t>
      </w:r>
    </w:p>
    <w:p w:rsidR="00386BD2" w:rsidRDefault="00B67494" w:rsidP="004812DB">
      <w:pPr>
        <w:spacing w:line="480" w:lineRule="auto"/>
        <w:ind w:firstLine="720"/>
        <w:rPr>
          <w:noProof/>
          <w:sz w:val="24"/>
          <w:szCs w:val="24"/>
        </w:rPr>
      </w:pPr>
      <w:r>
        <w:rPr>
          <w:rFonts w:ascii="Times New Roman" w:hAnsi="Times New Roman"/>
          <w:sz w:val="24"/>
          <w:szCs w:val="24"/>
        </w:rPr>
        <w:t xml:space="preserve">As shown in </w:t>
      </w:r>
      <w:r w:rsidR="00891489">
        <w:rPr>
          <w:rFonts w:ascii="Times New Roman" w:hAnsi="Times New Roman"/>
          <w:sz w:val="24"/>
          <w:szCs w:val="24"/>
        </w:rPr>
        <w:t>Figure</w:t>
      </w:r>
      <w:r w:rsidR="003C7691">
        <w:rPr>
          <w:rFonts w:ascii="Times New Roman" w:hAnsi="Times New Roman"/>
          <w:sz w:val="24"/>
          <w:szCs w:val="24"/>
        </w:rPr>
        <w:t xml:space="preserve"> </w:t>
      </w:r>
      <w:r w:rsidR="00891489">
        <w:rPr>
          <w:rFonts w:ascii="Times New Roman" w:hAnsi="Times New Roman"/>
          <w:sz w:val="24"/>
          <w:szCs w:val="24"/>
        </w:rPr>
        <w:t>5-6</w:t>
      </w:r>
      <w:r>
        <w:rPr>
          <w:rFonts w:ascii="Times New Roman" w:hAnsi="Times New Roman"/>
          <w:sz w:val="24"/>
          <w:szCs w:val="24"/>
        </w:rPr>
        <w:t>, the overall spatial mismatch</w:t>
      </w:r>
      <w:r w:rsidR="00E23743">
        <w:rPr>
          <w:rFonts w:ascii="Times New Roman" w:hAnsi="Times New Roman"/>
          <w:sz w:val="24"/>
          <w:szCs w:val="24"/>
        </w:rPr>
        <w:t xml:space="preserve"> of each type of housing units</w:t>
      </w:r>
      <w:r w:rsidR="008F4F18">
        <w:rPr>
          <w:rFonts w:ascii="Times New Roman" w:hAnsi="Times New Roman"/>
          <w:sz w:val="24"/>
          <w:szCs w:val="24"/>
        </w:rPr>
        <w:t xml:space="preserve"> diminishes</w:t>
      </w:r>
      <w:r w:rsidR="0019608C" w:rsidRPr="0019608C">
        <w:rPr>
          <w:rFonts w:ascii="Times New Roman" w:hAnsi="Times New Roman"/>
          <w:sz w:val="24"/>
          <w:szCs w:val="24"/>
        </w:rPr>
        <w:t xml:space="preserve"> </w:t>
      </w:r>
      <w:r w:rsidR="008F4F18">
        <w:rPr>
          <w:rFonts w:ascii="Times New Roman" w:hAnsi="Times New Roman"/>
          <w:sz w:val="24"/>
          <w:szCs w:val="24"/>
        </w:rPr>
        <w:t>as</w:t>
      </w:r>
      <w:r w:rsidR="0019608C">
        <w:rPr>
          <w:rFonts w:ascii="Times New Roman" w:hAnsi="Times New Roman"/>
          <w:sz w:val="24"/>
          <w:szCs w:val="24"/>
        </w:rPr>
        <w:t xml:space="preserve"> distance</w:t>
      </w:r>
      <w:r w:rsidR="008F4F18">
        <w:rPr>
          <w:rFonts w:ascii="Times New Roman" w:hAnsi="Times New Roman"/>
          <w:sz w:val="24"/>
          <w:szCs w:val="24"/>
        </w:rPr>
        <w:t>s</w:t>
      </w:r>
      <w:r w:rsidR="0019608C">
        <w:rPr>
          <w:rFonts w:ascii="Times New Roman" w:hAnsi="Times New Roman"/>
          <w:sz w:val="24"/>
          <w:szCs w:val="24"/>
        </w:rPr>
        <w:t xml:space="preserve"> increase</w:t>
      </w:r>
      <w:r>
        <w:rPr>
          <w:rFonts w:ascii="Times New Roman" w:hAnsi="Times New Roman"/>
          <w:sz w:val="24"/>
          <w:szCs w:val="24"/>
        </w:rPr>
        <w:t>. Among the</w:t>
      </w:r>
      <w:r w:rsidR="00864DB3">
        <w:rPr>
          <w:rFonts w:ascii="Times New Roman" w:hAnsi="Times New Roman"/>
          <w:sz w:val="24"/>
          <w:szCs w:val="24"/>
        </w:rPr>
        <w:t xml:space="preserve"> three network buffer distance analysis results, the largest mismatch lies in the 0.5-mile walking distance buffer which was more than </w:t>
      </w:r>
      <w:r w:rsidR="0046364D">
        <w:rPr>
          <w:rFonts w:ascii="Times New Roman" w:hAnsi="Times New Roman"/>
          <w:sz w:val="24"/>
          <w:szCs w:val="24"/>
        </w:rPr>
        <w:t>twice</w:t>
      </w:r>
      <w:r w:rsidR="00864DB3">
        <w:rPr>
          <w:rFonts w:ascii="Times New Roman" w:hAnsi="Times New Roman"/>
          <w:sz w:val="24"/>
          <w:szCs w:val="24"/>
        </w:rPr>
        <w:t xml:space="preserve"> the percentage of mismatch for either </w:t>
      </w:r>
      <w:r w:rsidR="004976C4">
        <w:rPr>
          <w:rFonts w:ascii="Times New Roman" w:hAnsi="Times New Roman"/>
          <w:sz w:val="24"/>
          <w:szCs w:val="24"/>
        </w:rPr>
        <w:t xml:space="preserve">the </w:t>
      </w:r>
      <w:r w:rsidR="00864DB3">
        <w:rPr>
          <w:rFonts w:ascii="Times New Roman" w:hAnsi="Times New Roman"/>
          <w:sz w:val="24"/>
          <w:szCs w:val="24"/>
        </w:rPr>
        <w:t xml:space="preserve">4-mile biking distance or </w:t>
      </w:r>
      <w:r w:rsidR="004976C4">
        <w:rPr>
          <w:rFonts w:ascii="Times New Roman" w:hAnsi="Times New Roman"/>
          <w:sz w:val="24"/>
          <w:szCs w:val="24"/>
        </w:rPr>
        <w:t xml:space="preserve">the </w:t>
      </w:r>
      <w:r w:rsidR="00864DB3">
        <w:rPr>
          <w:rFonts w:ascii="Times New Roman" w:hAnsi="Times New Roman"/>
          <w:sz w:val="24"/>
          <w:szCs w:val="24"/>
        </w:rPr>
        <w:t xml:space="preserve">10-mile driving distance.  </w:t>
      </w:r>
      <w:r w:rsidR="00463336">
        <w:rPr>
          <w:rFonts w:ascii="Times New Roman" w:hAnsi="Times New Roman"/>
          <w:sz w:val="24"/>
          <w:szCs w:val="24"/>
        </w:rPr>
        <w:t>The</w:t>
      </w:r>
      <w:r w:rsidR="00E23743">
        <w:rPr>
          <w:rFonts w:ascii="Times New Roman" w:hAnsi="Times New Roman"/>
          <w:sz w:val="24"/>
          <w:szCs w:val="24"/>
        </w:rPr>
        <w:t xml:space="preserve"> increased mismatch </w:t>
      </w:r>
      <w:r w:rsidR="00C20D4A">
        <w:rPr>
          <w:rFonts w:ascii="Times New Roman" w:hAnsi="Times New Roman"/>
          <w:sz w:val="24"/>
          <w:szCs w:val="24"/>
        </w:rPr>
        <w:t>is</w:t>
      </w:r>
      <w:r w:rsidR="00E23743">
        <w:rPr>
          <w:rFonts w:ascii="Times New Roman" w:hAnsi="Times New Roman"/>
          <w:sz w:val="24"/>
          <w:szCs w:val="24"/>
        </w:rPr>
        <w:t xml:space="preserve"> not</w:t>
      </w:r>
      <w:r w:rsidR="0041242A">
        <w:rPr>
          <w:rFonts w:ascii="Times New Roman" w:hAnsi="Times New Roman"/>
          <w:sz w:val="24"/>
          <w:szCs w:val="24"/>
        </w:rPr>
        <w:t xml:space="preserve"> as</w:t>
      </w:r>
      <w:r w:rsidR="00E23743">
        <w:rPr>
          <w:rFonts w:ascii="Times New Roman" w:hAnsi="Times New Roman"/>
          <w:sz w:val="24"/>
          <w:szCs w:val="24"/>
        </w:rPr>
        <w:t xml:space="preserve"> significant when the distance</w:t>
      </w:r>
      <w:r w:rsidR="00935D48">
        <w:rPr>
          <w:rFonts w:ascii="Times New Roman" w:hAnsi="Times New Roman"/>
          <w:sz w:val="24"/>
          <w:szCs w:val="24"/>
        </w:rPr>
        <w:t xml:space="preserve"> decreases</w:t>
      </w:r>
      <w:r w:rsidR="00E23743">
        <w:rPr>
          <w:rFonts w:ascii="Times New Roman" w:hAnsi="Times New Roman"/>
          <w:sz w:val="24"/>
          <w:szCs w:val="24"/>
        </w:rPr>
        <w:t xml:space="preserve"> from </w:t>
      </w:r>
      <w:r w:rsidR="00463336">
        <w:rPr>
          <w:rFonts w:ascii="Times New Roman" w:hAnsi="Times New Roman"/>
          <w:sz w:val="24"/>
          <w:szCs w:val="24"/>
        </w:rPr>
        <w:t>10</w:t>
      </w:r>
      <w:r w:rsidR="00E23743">
        <w:rPr>
          <w:rFonts w:ascii="Times New Roman" w:hAnsi="Times New Roman"/>
          <w:sz w:val="24"/>
          <w:szCs w:val="24"/>
        </w:rPr>
        <w:t xml:space="preserve"> mil</w:t>
      </w:r>
      <w:r w:rsidR="00C20D4A">
        <w:rPr>
          <w:rFonts w:ascii="Times New Roman" w:hAnsi="Times New Roman"/>
          <w:sz w:val="24"/>
          <w:szCs w:val="24"/>
        </w:rPr>
        <w:t>es</w:t>
      </w:r>
      <w:r w:rsidR="00E23743">
        <w:rPr>
          <w:rFonts w:ascii="Times New Roman" w:hAnsi="Times New Roman"/>
          <w:sz w:val="24"/>
          <w:szCs w:val="24"/>
        </w:rPr>
        <w:t xml:space="preserve"> to </w:t>
      </w:r>
      <w:r w:rsidR="00463336">
        <w:rPr>
          <w:rFonts w:ascii="Times New Roman" w:hAnsi="Times New Roman"/>
          <w:sz w:val="24"/>
          <w:szCs w:val="24"/>
        </w:rPr>
        <w:t>4</w:t>
      </w:r>
      <w:r w:rsidR="0041242A">
        <w:rPr>
          <w:rFonts w:ascii="Times New Roman" w:hAnsi="Times New Roman"/>
          <w:sz w:val="24"/>
          <w:szCs w:val="24"/>
        </w:rPr>
        <w:t xml:space="preserve"> </w:t>
      </w:r>
      <w:r w:rsidR="00C20D4A">
        <w:rPr>
          <w:rFonts w:ascii="Times New Roman" w:hAnsi="Times New Roman"/>
          <w:sz w:val="24"/>
          <w:szCs w:val="24"/>
        </w:rPr>
        <w:t>m</w:t>
      </w:r>
      <w:r w:rsidR="00E23743">
        <w:rPr>
          <w:rFonts w:ascii="Times New Roman" w:hAnsi="Times New Roman"/>
          <w:sz w:val="24"/>
          <w:szCs w:val="24"/>
        </w:rPr>
        <w:t xml:space="preserve">iles. According to the results shown in </w:t>
      </w:r>
      <w:r w:rsidR="00891489">
        <w:rPr>
          <w:rFonts w:ascii="Times New Roman" w:hAnsi="Times New Roman"/>
          <w:sz w:val="24"/>
          <w:szCs w:val="24"/>
        </w:rPr>
        <w:t>T</w:t>
      </w:r>
      <w:r w:rsidR="00E23743">
        <w:rPr>
          <w:rFonts w:ascii="Times New Roman" w:hAnsi="Times New Roman"/>
          <w:sz w:val="24"/>
          <w:szCs w:val="24"/>
        </w:rPr>
        <w:t>able</w:t>
      </w:r>
      <w:r w:rsidR="003C7691">
        <w:rPr>
          <w:rFonts w:ascii="Times New Roman" w:hAnsi="Times New Roman"/>
          <w:sz w:val="24"/>
          <w:szCs w:val="24"/>
        </w:rPr>
        <w:t xml:space="preserve"> </w:t>
      </w:r>
      <w:r w:rsidR="00E23743">
        <w:rPr>
          <w:rFonts w:ascii="Times New Roman" w:hAnsi="Times New Roman"/>
          <w:sz w:val="24"/>
          <w:szCs w:val="24"/>
        </w:rPr>
        <w:t xml:space="preserve">5-1, </w:t>
      </w:r>
      <w:r w:rsidR="00864DB3">
        <w:rPr>
          <w:rFonts w:ascii="Times New Roman" w:hAnsi="Times New Roman"/>
          <w:sz w:val="24"/>
          <w:szCs w:val="24"/>
        </w:rPr>
        <w:t>the</w:t>
      </w:r>
      <w:r>
        <w:rPr>
          <w:rFonts w:ascii="Times New Roman" w:hAnsi="Times New Roman"/>
          <w:sz w:val="24"/>
          <w:szCs w:val="24"/>
        </w:rPr>
        <w:t xml:space="preserve"> mismatch based on </w:t>
      </w:r>
      <w:r w:rsidR="004976C4">
        <w:rPr>
          <w:rFonts w:ascii="Times New Roman" w:hAnsi="Times New Roman"/>
          <w:sz w:val="24"/>
          <w:szCs w:val="24"/>
        </w:rPr>
        <w:t xml:space="preserve">the </w:t>
      </w:r>
      <w:r>
        <w:rPr>
          <w:rFonts w:ascii="Times New Roman" w:hAnsi="Times New Roman"/>
          <w:sz w:val="24"/>
          <w:szCs w:val="24"/>
        </w:rPr>
        <w:t>0.5-mile walking distance</w:t>
      </w:r>
      <w:r w:rsidR="004976C4">
        <w:rPr>
          <w:rFonts w:ascii="Times New Roman" w:hAnsi="Times New Roman"/>
          <w:sz w:val="24"/>
          <w:szCs w:val="24"/>
        </w:rPr>
        <w:t xml:space="preserve"> buffer</w:t>
      </w:r>
      <w:r w:rsidR="00004712">
        <w:rPr>
          <w:rFonts w:ascii="Times New Roman" w:hAnsi="Times New Roman"/>
          <w:sz w:val="24"/>
          <w:szCs w:val="24"/>
        </w:rPr>
        <w:t xml:space="preserve"> shows</w:t>
      </w:r>
      <w:r w:rsidR="001551D5">
        <w:rPr>
          <w:rFonts w:ascii="Times New Roman" w:hAnsi="Times New Roman"/>
          <w:sz w:val="24"/>
          <w:szCs w:val="24"/>
        </w:rPr>
        <w:t xml:space="preserve"> that</w:t>
      </w:r>
      <w:r>
        <w:rPr>
          <w:rFonts w:ascii="Times New Roman" w:hAnsi="Times New Roman"/>
          <w:sz w:val="24"/>
          <w:szCs w:val="24"/>
        </w:rPr>
        <w:t xml:space="preserve"> the AHI housing units have </w:t>
      </w:r>
      <w:r w:rsidR="004976C4">
        <w:rPr>
          <w:rFonts w:ascii="Times New Roman" w:hAnsi="Times New Roman"/>
          <w:sz w:val="24"/>
          <w:szCs w:val="24"/>
        </w:rPr>
        <w:t xml:space="preserve">a </w:t>
      </w:r>
      <w:r>
        <w:rPr>
          <w:rFonts w:ascii="Times New Roman" w:hAnsi="Times New Roman"/>
          <w:sz w:val="24"/>
          <w:szCs w:val="24"/>
        </w:rPr>
        <w:t>larger percentage of</w:t>
      </w:r>
      <w:r w:rsidR="00864DB3">
        <w:rPr>
          <w:rFonts w:ascii="Times New Roman" w:hAnsi="Times New Roman"/>
          <w:sz w:val="24"/>
          <w:szCs w:val="24"/>
        </w:rPr>
        <w:t xml:space="preserve"> spatial</w:t>
      </w:r>
      <w:r>
        <w:rPr>
          <w:rFonts w:ascii="Times New Roman" w:hAnsi="Times New Roman"/>
          <w:sz w:val="24"/>
          <w:szCs w:val="24"/>
        </w:rPr>
        <w:t xml:space="preserve"> </w:t>
      </w:r>
      <w:r w:rsidR="00463336">
        <w:rPr>
          <w:rFonts w:ascii="Times New Roman" w:hAnsi="Times New Roman"/>
          <w:sz w:val="24"/>
          <w:szCs w:val="24"/>
        </w:rPr>
        <w:t>mismatch</w:t>
      </w:r>
      <w:r w:rsidR="00864DB3">
        <w:rPr>
          <w:rFonts w:ascii="Times New Roman" w:hAnsi="Times New Roman"/>
          <w:sz w:val="24"/>
          <w:szCs w:val="24"/>
        </w:rPr>
        <w:t xml:space="preserve">, </w:t>
      </w:r>
      <w:r w:rsidR="00004712">
        <w:rPr>
          <w:rFonts w:ascii="Times New Roman" w:hAnsi="Times New Roman"/>
          <w:sz w:val="24"/>
          <w:szCs w:val="24"/>
        </w:rPr>
        <w:t xml:space="preserve">and that </w:t>
      </w:r>
      <w:r w:rsidR="00864DB3">
        <w:rPr>
          <w:rFonts w:ascii="Times New Roman" w:hAnsi="Times New Roman"/>
          <w:sz w:val="24"/>
          <w:szCs w:val="24"/>
        </w:rPr>
        <w:t xml:space="preserve">the mismatch </w:t>
      </w:r>
      <w:r w:rsidR="004976C4">
        <w:rPr>
          <w:rFonts w:ascii="Times New Roman" w:hAnsi="Times New Roman"/>
          <w:sz w:val="24"/>
          <w:szCs w:val="24"/>
        </w:rPr>
        <w:t xml:space="preserve">of </w:t>
      </w:r>
      <w:r w:rsidR="00864DB3">
        <w:rPr>
          <w:rFonts w:ascii="Times New Roman" w:hAnsi="Times New Roman"/>
          <w:sz w:val="24"/>
          <w:szCs w:val="24"/>
        </w:rPr>
        <w:t xml:space="preserve">both VLI </w:t>
      </w:r>
      <w:r w:rsidR="00864DB3">
        <w:rPr>
          <w:rFonts w:ascii="Times New Roman" w:hAnsi="Times New Roman"/>
          <w:sz w:val="24"/>
          <w:szCs w:val="24"/>
        </w:rPr>
        <w:lastRenderedPageBreak/>
        <w:t>and LI housing units location</w:t>
      </w:r>
      <w:r w:rsidR="004976C4">
        <w:rPr>
          <w:rFonts w:ascii="Times New Roman" w:hAnsi="Times New Roman"/>
          <w:sz w:val="24"/>
          <w:szCs w:val="24"/>
        </w:rPr>
        <w:t>s</w:t>
      </w:r>
      <w:r w:rsidR="00864DB3">
        <w:rPr>
          <w:rFonts w:ascii="Times New Roman" w:hAnsi="Times New Roman"/>
          <w:sz w:val="24"/>
          <w:szCs w:val="24"/>
        </w:rPr>
        <w:t xml:space="preserve"> reach</w:t>
      </w:r>
      <w:r w:rsidR="00004712">
        <w:rPr>
          <w:rFonts w:ascii="Times New Roman" w:hAnsi="Times New Roman"/>
          <w:sz w:val="24"/>
          <w:szCs w:val="24"/>
        </w:rPr>
        <w:t>es</w:t>
      </w:r>
      <w:r w:rsidR="00864DB3">
        <w:rPr>
          <w:rFonts w:ascii="Times New Roman" w:hAnsi="Times New Roman"/>
          <w:sz w:val="24"/>
          <w:szCs w:val="24"/>
        </w:rPr>
        <w:t xml:space="preserve"> to </w:t>
      </w:r>
      <w:r w:rsidR="00004712">
        <w:rPr>
          <w:rFonts w:ascii="Times New Roman" w:hAnsi="Times New Roman"/>
          <w:sz w:val="24"/>
          <w:szCs w:val="24"/>
        </w:rPr>
        <w:t xml:space="preserve">approximately </w:t>
      </w:r>
      <w:r w:rsidR="00864DB3">
        <w:rPr>
          <w:rFonts w:ascii="Times New Roman" w:hAnsi="Times New Roman"/>
          <w:sz w:val="24"/>
          <w:szCs w:val="24"/>
        </w:rPr>
        <w:t xml:space="preserve">85% over </w:t>
      </w:r>
      <w:r w:rsidR="004976C4">
        <w:rPr>
          <w:rFonts w:ascii="Times New Roman" w:hAnsi="Times New Roman"/>
          <w:sz w:val="24"/>
          <w:szCs w:val="24"/>
        </w:rPr>
        <w:t xml:space="preserve">the </w:t>
      </w:r>
      <w:r w:rsidR="00864DB3">
        <w:rPr>
          <w:rFonts w:ascii="Times New Roman" w:hAnsi="Times New Roman"/>
          <w:sz w:val="24"/>
          <w:szCs w:val="24"/>
        </w:rPr>
        <w:t xml:space="preserve">housing supply and demand. The variation for the </w:t>
      </w:r>
      <w:r w:rsidR="00D2442C">
        <w:rPr>
          <w:rFonts w:ascii="Times New Roman" w:hAnsi="Times New Roman"/>
          <w:sz w:val="24"/>
          <w:szCs w:val="24"/>
        </w:rPr>
        <w:t xml:space="preserve">employment </w:t>
      </w:r>
      <w:r w:rsidR="00864DB3">
        <w:rPr>
          <w:rFonts w:ascii="Times New Roman" w:hAnsi="Times New Roman"/>
          <w:sz w:val="24"/>
          <w:szCs w:val="24"/>
        </w:rPr>
        <w:t xml:space="preserve">mismatch for multi-family housing units was </w:t>
      </w:r>
      <w:r w:rsidR="006E48FB">
        <w:rPr>
          <w:rFonts w:ascii="Times New Roman" w:hAnsi="Times New Roman"/>
          <w:sz w:val="24"/>
          <w:szCs w:val="24"/>
        </w:rPr>
        <w:t>also low</w:t>
      </w:r>
      <w:r w:rsidR="0041242A">
        <w:rPr>
          <w:rFonts w:ascii="Times New Roman" w:hAnsi="Times New Roman"/>
          <w:sz w:val="24"/>
          <w:szCs w:val="24"/>
        </w:rPr>
        <w:t xml:space="preserve"> but in favor of the multi-family location where the mismatch is a little bit lower</w:t>
      </w:r>
      <w:r w:rsidR="00D2442C">
        <w:rPr>
          <w:rFonts w:ascii="Times New Roman" w:hAnsi="Times New Roman"/>
          <w:sz w:val="24"/>
          <w:szCs w:val="24"/>
        </w:rPr>
        <w:t xml:space="preserve"> than the employment mismatch for the AHI units</w:t>
      </w:r>
      <w:r w:rsidR="0041242A">
        <w:rPr>
          <w:rFonts w:ascii="Times New Roman" w:hAnsi="Times New Roman"/>
          <w:sz w:val="24"/>
          <w:szCs w:val="24"/>
        </w:rPr>
        <w:t>.</w:t>
      </w:r>
    </w:p>
    <w:p w:rsidR="00891489" w:rsidRDefault="00B67494" w:rsidP="009F3DA0">
      <w:pPr>
        <w:pStyle w:val="ListParagraph"/>
        <w:spacing w:line="480" w:lineRule="auto"/>
        <w:ind w:left="0"/>
        <w:rPr>
          <w:rFonts w:ascii="Times New Roman" w:hAnsi="Times New Roman"/>
          <w:sz w:val="24"/>
          <w:szCs w:val="24"/>
        </w:rPr>
      </w:pPr>
      <w:r>
        <w:rPr>
          <w:rFonts w:ascii="Times New Roman" w:hAnsi="Times New Roman"/>
          <w:sz w:val="24"/>
          <w:szCs w:val="24"/>
        </w:rPr>
        <w:t xml:space="preserve">5.2 </w:t>
      </w:r>
      <w:r w:rsidR="00386BD2" w:rsidRPr="003415E6">
        <w:rPr>
          <w:rFonts w:ascii="Times New Roman" w:hAnsi="Times New Roman"/>
          <w:sz w:val="24"/>
          <w:szCs w:val="24"/>
        </w:rPr>
        <w:t xml:space="preserve">Comparison II: Mismatch between </w:t>
      </w:r>
      <w:r w:rsidR="003415E6">
        <w:rPr>
          <w:rFonts w:ascii="Times New Roman" w:hAnsi="Times New Roman"/>
          <w:sz w:val="24"/>
          <w:szCs w:val="24"/>
        </w:rPr>
        <w:t>HUD funded housing units and FHFC/LHFA funded housing units</w:t>
      </w:r>
      <w:r w:rsidR="00891489" w:rsidRPr="00891489">
        <w:rPr>
          <w:rFonts w:ascii="Times New Roman" w:hAnsi="Times New Roman"/>
          <w:sz w:val="24"/>
          <w:szCs w:val="24"/>
        </w:rPr>
        <w:t xml:space="preserve"> </w:t>
      </w:r>
    </w:p>
    <w:p w:rsidR="002969B4" w:rsidRDefault="00945D20" w:rsidP="00D2442C">
      <w:pPr>
        <w:pStyle w:val="ListParagraph"/>
        <w:spacing w:line="480" w:lineRule="auto"/>
        <w:ind w:left="0" w:firstLine="720"/>
        <w:rPr>
          <w:rFonts w:ascii="Times New Roman" w:hAnsi="Times New Roman"/>
          <w:sz w:val="24"/>
          <w:szCs w:val="24"/>
        </w:rPr>
      </w:pPr>
      <w:r>
        <w:rPr>
          <w:rFonts w:ascii="Times New Roman" w:hAnsi="Times New Roman"/>
          <w:sz w:val="24"/>
          <w:szCs w:val="24"/>
        </w:rPr>
        <w:t>Both</w:t>
      </w:r>
      <w:r w:rsidR="00891489">
        <w:rPr>
          <w:rFonts w:ascii="Times New Roman" w:hAnsi="Times New Roman"/>
          <w:sz w:val="24"/>
          <w:szCs w:val="24"/>
        </w:rPr>
        <w:t xml:space="preserve"> </w:t>
      </w:r>
      <w:r>
        <w:rPr>
          <w:rFonts w:ascii="Times New Roman" w:hAnsi="Times New Roman"/>
          <w:sz w:val="24"/>
          <w:szCs w:val="24"/>
        </w:rPr>
        <w:t xml:space="preserve">HUD funded and FHFC/LHFA funded housing units data were derived from AHI data. </w:t>
      </w:r>
      <w:r w:rsidR="00534A2D">
        <w:rPr>
          <w:rFonts w:ascii="Times New Roman" w:hAnsi="Times New Roman"/>
          <w:sz w:val="24"/>
          <w:szCs w:val="24"/>
        </w:rPr>
        <w:t>This</w:t>
      </w:r>
      <w:r>
        <w:rPr>
          <w:rFonts w:ascii="Times New Roman" w:hAnsi="Times New Roman"/>
          <w:sz w:val="24"/>
          <w:szCs w:val="24"/>
        </w:rPr>
        <w:t xml:space="preserve"> applied comparison</w:t>
      </w:r>
      <w:r w:rsidR="004812DB">
        <w:rPr>
          <w:rFonts w:ascii="Times New Roman" w:hAnsi="Times New Roman"/>
          <w:sz w:val="24"/>
          <w:szCs w:val="24"/>
        </w:rPr>
        <w:t xml:space="preserve"> will highlight</w:t>
      </w:r>
      <w:r>
        <w:rPr>
          <w:rFonts w:ascii="Times New Roman" w:hAnsi="Times New Roman"/>
          <w:sz w:val="24"/>
          <w:szCs w:val="24"/>
        </w:rPr>
        <w:t xml:space="preserve"> how well these funding sources </w:t>
      </w:r>
      <w:r w:rsidR="00534A2D">
        <w:rPr>
          <w:rFonts w:ascii="Times New Roman" w:hAnsi="Times New Roman"/>
          <w:sz w:val="24"/>
          <w:szCs w:val="24"/>
        </w:rPr>
        <w:t xml:space="preserve">have provided </w:t>
      </w:r>
      <w:r>
        <w:rPr>
          <w:rFonts w:ascii="Times New Roman" w:hAnsi="Times New Roman"/>
          <w:sz w:val="24"/>
          <w:szCs w:val="24"/>
        </w:rPr>
        <w:t>affordable housing for lower income population</w:t>
      </w:r>
      <w:r w:rsidR="00534A2D">
        <w:rPr>
          <w:rFonts w:ascii="Times New Roman" w:hAnsi="Times New Roman"/>
          <w:sz w:val="24"/>
          <w:szCs w:val="24"/>
        </w:rPr>
        <w:t xml:space="preserve">s. </w:t>
      </w:r>
      <w:r>
        <w:rPr>
          <w:rFonts w:ascii="Times New Roman" w:hAnsi="Times New Roman"/>
          <w:sz w:val="24"/>
          <w:szCs w:val="24"/>
        </w:rPr>
        <w:t>.</w:t>
      </w:r>
      <w:r w:rsidR="00865532" w:rsidRPr="00865532">
        <w:rPr>
          <w:noProof/>
          <w:sz w:val="24"/>
          <w:szCs w:val="24"/>
        </w:rPr>
        <w:t xml:space="preserve"> </w:t>
      </w:r>
    </w:p>
    <w:p w:rsidR="003A129E" w:rsidRDefault="00865532" w:rsidP="003A129E">
      <w:pPr>
        <w:pStyle w:val="ListParagraph"/>
        <w:spacing w:line="480" w:lineRule="auto"/>
        <w:ind w:left="0" w:firstLine="720"/>
        <w:rPr>
          <w:rFonts w:ascii="Times New Roman" w:hAnsi="Times New Roman"/>
          <w:sz w:val="24"/>
          <w:szCs w:val="24"/>
        </w:rPr>
      </w:pPr>
      <w:r>
        <w:rPr>
          <w:rFonts w:ascii="Times New Roman" w:hAnsi="Times New Roman"/>
          <w:sz w:val="24"/>
          <w:szCs w:val="24"/>
        </w:rPr>
        <w:t>In</w:t>
      </w:r>
      <w:r w:rsidR="00945D20">
        <w:rPr>
          <w:rFonts w:ascii="Times New Roman" w:hAnsi="Times New Roman"/>
          <w:sz w:val="24"/>
          <w:szCs w:val="24"/>
        </w:rPr>
        <w:t xml:space="preserve"> Figure</w:t>
      </w:r>
      <w:r w:rsidR="00737FA5">
        <w:rPr>
          <w:rFonts w:ascii="Times New Roman" w:hAnsi="Times New Roman"/>
          <w:sz w:val="24"/>
          <w:szCs w:val="24"/>
        </w:rPr>
        <w:t xml:space="preserve"> </w:t>
      </w:r>
      <w:r w:rsidR="00945D20">
        <w:rPr>
          <w:rFonts w:ascii="Times New Roman" w:hAnsi="Times New Roman"/>
          <w:sz w:val="24"/>
          <w:szCs w:val="24"/>
        </w:rPr>
        <w:t>5-7</w:t>
      </w:r>
      <w:r>
        <w:rPr>
          <w:rFonts w:ascii="Times New Roman" w:hAnsi="Times New Roman"/>
          <w:sz w:val="24"/>
          <w:szCs w:val="24"/>
        </w:rPr>
        <w:t>, HUD</w:t>
      </w:r>
      <w:r w:rsidR="0041242A">
        <w:rPr>
          <w:rFonts w:ascii="Times New Roman" w:hAnsi="Times New Roman"/>
          <w:sz w:val="24"/>
          <w:szCs w:val="24"/>
        </w:rPr>
        <w:t>/RD</w:t>
      </w:r>
      <w:r>
        <w:rPr>
          <w:rFonts w:ascii="Times New Roman" w:hAnsi="Times New Roman"/>
          <w:sz w:val="24"/>
          <w:szCs w:val="24"/>
        </w:rPr>
        <w:t xml:space="preserve"> funded housing units showed a steady decrease in </w:t>
      </w:r>
      <w:r w:rsidR="00291F01">
        <w:rPr>
          <w:rFonts w:ascii="Times New Roman" w:hAnsi="Times New Roman"/>
          <w:sz w:val="24"/>
          <w:szCs w:val="24"/>
        </w:rPr>
        <w:t xml:space="preserve">the </w:t>
      </w:r>
      <w:r>
        <w:rPr>
          <w:rFonts w:ascii="Times New Roman" w:hAnsi="Times New Roman"/>
          <w:sz w:val="24"/>
          <w:szCs w:val="24"/>
        </w:rPr>
        <w:t xml:space="preserve">percentage of mismatch with an increase in network distance to employment, indicating that these housing units </w:t>
      </w:r>
      <w:r w:rsidR="00291F01">
        <w:rPr>
          <w:rFonts w:ascii="Times New Roman" w:hAnsi="Times New Roman"/>
          <w:sz w:val="24"/>
          <w:szCs w:val="24"/>
        </w:rPr>
        <w:t xml:space="preserve">consistently </w:t>
      </w:r>
      <w:r>
        <w:rPr>
          <w:rFonts w:ascii="Times New Roman" w:hAnsi="Times New Roman"/>
          <w:sz w:val="24"/>
          <w:szCs w:val="24"/>
        </w:rPr>
        <w:t xml:space="preserve">received </w:t>
      </w:r>
      <w:r w:rsidR="00291F01">
        <w:rPr>
          <w:rFonts w:ascii="Times New Roman" w:hAnsi="Times New Roman"/>
          <w:sz w:val="24"/>
          <w:szCs w:val="24"/>
        </w:rPr>
        <w:t xml:space="preserve">a </w:t>
      </w:r>
      <w:r>
        <w:rPr>
          <w:rFonts w:ascii="Times New Roman" w:hAnsi="Times New Roman"/>
          <w:sz w:val="24"/>
          <w:szCs w:val="24"/>
        </w:rPr>
        <w:t>similar level of</w:t>
      </w:r>
      <w:r w:rsidR="00072368">
        <w:rPr>
          <w:rFonts w:ascii="Times New Roman" w:hAnsi="Times New Roman"/>
          <w:sz w:val="24"/>
          <w:szCs w:val="24"/>
        </w:rPr>
        <w:t xml:space="preserve"> the </w:t>
      </w:r>
      <w:r w:rsidR="00072368" w:rsidRPr="00072368">
        <w:rPr>
          <w:rFonts w:ascii="Times New Roman" w:hAnsi="Times New Roman"/>
          <w:sz w:val="24"/>
          <w:szCs w:val="24"/>
        </w:rPr>
        <w:t>disproportion</w:t>
      </w:r>
      <w:r w:rsidR="00072368">
        <w:rPr>
          <w:rFonts w:ascii="Times New Roman" w:hAnsi="Times New Roman"/>
          <w:sz w:val="24"/>
          <w:szCs w:val="24"/>
        </w:rPr>
        <w:t xml:space="preserve"> over supply and demand. </w:t>
      </w:r>
      <w:r>
        <w:rPr>
          <w:rFonts w:ascii="Times New Roman" w:hAnsi="Times New Roman"/>
          <w:sz w:val="24"/>
          <w:szCs w:val="24"/>
        </w:rPr>
        <w:t xml:space="preserve"> </w:t>
      </w:r>
      <w:r w:rsidR="00072368">
        <w:rPr>
          <w:rFonts w:ascii="Times New Roman" w:hAnsi="Times New Roman"/>
          <w:sz w:val="24"/>
          <w:szCs w:val="24"/>
        </w:rPr>
        <w:t>Among the FHFC/LHFA funded units, the mismatch shows a substantial decrease when the network distance increa</w:t>
      </w:r>
      <w:r w:rsidR="009F3DA0">
        <w:rPr>
          <w:rFonts w:ascii="Times New Roman" w:hAnsi="Times New Roman"/>
          <w:sz w:val="24"/>
          <w:szCs w:val="24"/>
        </w:rPr>
        <w:t>sed</w:t>
      </w:r>
      <w:r w:rsidR="00B466F1">
        <w:rPr>
          <w:rFonts w:ascii="Times New Roman" w:hAnsi="Times New Roman"/>
          <w:sz w:val="24"/>
          <w:szCs w:val="24"/>
        </w:rPr>
        <w:t>,</w:t>
      </w:r>
      <w:r w:rsidR="009F3DA0">
        <w:rPr>
          <w:rFonts w:ascii="Times New Roman" w:hAnsi="Times New Roman"/>
          <w:sz w:val="24"/>
          <w:szCs w:val="24"/>
        </w:rPr>
        <w:t xml:space="preserve"> but not </w:t>
      </w:r>
      <w:r w:rsidR="004812DB">
        <w:rPr>
          <w:rFonts w:ascii="Times New Roman" w:hAnsi="Times New Roman"/>
          <w:sz w:val="24"/>
          <w:szCs w:val="24"/>
        </w:rPr>
        <w:t xml:space="preserve">for </w:t>
      </w:r>
      <w:r w:rsidR="00B466F1">
        <w:rPr>
          <w:rFonts w:ascii="Times New Roman" w:hAnsi="Times New Roman"/>
          <w:sz w:val="24"/>
          <w:szCs w:val="24"/>
        </w:rPr>
        <w:t xml:space="preserve">distances </w:t>
      </w:r>
      <w:r w:rsidR="009F3DA0">
        <w:rPr>
          <w:rFonts w:ascii="Times New Roman" w:hAnsi="Times New Roman"/>
          <w:sz w:val="24"/>
          <w:szCs w:val="24"/>
        </w:rPr>
        <w:t>exceed</w:t>
      </w:r>
      <w:r w:rsidR="00B466F1">
        <w:rPr>
          <w:rFonts w:ascii="Times New Roman" w:hAnsi="Times New Roman"/>
          <w:sz w:val="24"/>
          <w:szCs w:val="24"/>
        </w:rPr>
        <w:t>ing</w:t>
      </w:r>
      <w:r w:rsidR="009F3DA0">
        <w:rPr>
          <w:rFonts w:ascii="Times New Roman" w:hAnsi="Times New Roman"/>
          <w:sz w:val="24"/>
          <w:szCs w:val="24"/>
        </w:rPr>
        <w:t xml:space="preserve"> 4</w:t>
      </w:r>
      <w:r w:rsidR="00463336">
        <w:rPr>
          <w:rFonts w:ascii="Times New Roman" w:hAnsi="Times New Roman"/>
          <w:sz w:val="24"/>
          <w:szCs w:val="24"/>
        </w:rPr>
        <w:t xml:space="preserve"> </w:t>
      </w:r>
      <w:r w:rsidR="009F3DA0">
        <w:rPr>
          <w:rFonts w:ascii="Times New Roman" w:hAnsi="Times New Roman"/>
          <w:sz w:val="24"/>
          <w:szCs w:val="24"/>
        </w:rPr>
        <w:t xml:space="preserve">miles. This </w:t>
      </w:r>
      <w:r w:rsidR="00164246">
        <w:rPr>
          <w:rFonts w:ascii="Times New Roman" w:hAnsi="Times New Roman"/>
          <w:sz w:val="24"/>
          <w:szCs w:val="24"/>
        </w:rPr>
        <w:t xml:space="preserve">suggests </w:t>
      </w:r>
      <w:r w:rsidR="00B466F1">
        <w:rPr>
          <w:rFonts w:ascii="Times New Roman" w:hAnsi="Times New Roman"/>
          <w:sz w:val="24"/>
          <w:szCs w:val="24"/>
        </w:rPr>
        <w:t xml:space="preserve">that </w:t>
      </w:r>
      <w:r w:rsidR="009F3DA0">
        <w:rPr>
          <w:rFonts w:ascii="Times New Roman" w:hAnsi="Times New Roman"/>
          <w:sz w:val="24"/>
          <w:szCs w:val="24"/>
        </w:rPr>
        <w:t>most of affordable housing units funded by FHFC/LHFA</w:t>
      </w:r>
      <w:r w:rsidR="00D2442C">
        <w:rPr>
          <w:rFonts w:ascii="Times New Roman" w:hAnsi="Times New Roman"/>
          <w:sz w:val="24"/>
          <w:szCs w:val="24"/>
        </w:rPr>
        <w:t xml:space="preserve"> are</w:t>
      </w:r>
      <w:r w:rsidR="009F3DA0">
        <w:rPr>
          <w:rFonts w:ascii="Times New Roman" w:hAnsi="Times New Roman"/>
          <w:sz w:val="24"/>
          <w:szCs w:val="24"/>
        </w:rPr>
        <w:t xml:space="preserve"> locate</w:t>
      </w:r>
      <w:r w:rsidR="00D2442C">
        <w:rPr>
          <w:rFonts w:ascii="Times New Roman" w:hAnsi="Times New Roman"/>
          <w:sz w:val="24"/>
          <w:szCs w:val="24"/>
        </w:rPr>
        <w:t>d</w:t>
      </w:r>
      <w:r w:rsidR="009F3DA0">
        <w:rPr>
          <w:rFonts w:ascii="Times New Roman" w:hAnsi="Times New Roman"/>
          <w:sz w:val="24"/>
          <w:szCs w:val="24"/>
        </w:rPr>
        <w:t xml:space="preserve"> </w:t>
      </w:r>
      <w:r w:rsidR="00164246">
        <w:rPr>
          <w:rFonts w:ascii="Times New Roman" w:hAnsi="Times New Roman"/>
          <w:sz w:val="24"/>
          <w:szCs w:val="24"/>
        </w:rPr>
        <w:t xml:space="preserve">beyond </w:t>
      </w:r>
      <w:r w:rsidR="009F3DA0">
        <w:rPr>
          <w:rFonts w:ascii="Times New Roman" w:hAnsi="Times New Roman"/>
          <w:sz w:val="24"/>
          <w:szCs w:val="24"/>
        </w:rPr>
        <w:t>the wal</w:t>
      </w:r>
      <w:r w:rsidR="0041242A">
        <w:rPr>
          <w:rFonts w:ascii="Times New Roman" w:hAnsi="Times New Roman"/>
          <w:sz w:val="24"/>
          <w:szCs w:val="24"/>
        </w:rPr>
        <w:t xml:space="preserve">king distance to employment but </w:t>
      </w:r>
      <w:r w:rsidR="00F67CE5">
        <w:rPr>
          <w:rFonts w:ascii="Times New Roman" w:hAnsi="Times New Roman"/>
          <w:sz w:val="24"/>
          <w:szCs w:val="24"/>
        </w:rPr>
        <w:t xml:space="preserve">are </w:t>
      </w:r>
      <w:r w:rsidR="0041242A">
        <w:rPr>
          <w:rFonts w:ascii="Times New Roman" w:hAnsi="Times New Roman"/>
          <w:sz w:val="24"/>
          <w:szCs w:val="24"/>
        </w:rPr>
        <w:t xml:space="preserve">better located than HUD/RD </w:t>
      </w:r>
      <w:r w:rsidR="00F67CE5">
        <w:rPr>
          <w:rFonts w:ascii="Times New Roman" w:hAnsi="Times New Roman"/>
          <w:sz w:val="24"/>
          <w:szCs w:val="24"/>
        </w:rPr>
        <w:t xml:space="preserve">properties </w:t>
      </w:r>
      <w:r w:rsidR="0041242A">
        <w:rPr>
          <w:rFonts w:ascii="Times New Roman" w:hAnsi="Times New Roman"/>
          <w:sz w:val="24"/>
          <w:szCs w:val="24"/>
        </w:rPr>
        <w:t>in terms of biking distances.</w:t>
      </w:r>
      <w:r w:rsidR="009F3DA0">
        <w:rPr>
          <w:rFonts w:ascii="Times New Roman" w:hAnsi="Times New Roman"/>
          <w:sz w:val="24"/>
          <w:szCs w:val="24"/>
        </w:rPr>
        <w:t xml:space="preserve"> </w:t>
      </w:r>
    </w:p>
    <w:p w:rsidR="00112A9C" w:rsidRPr="00112A9C" w:rsidRDefault="00A17148" w:rsidP="00112A9C">
      <w:pPr>
        <w:spacing w:line="480" w:lineRule="auto"/>
        <w:rPr>
          <w:rFonts w:ascii="Times New Roman" w:hAnsi="Times New Roman"/>
          <w:sz w:val="24"/>
          <w:szCs w:val="24"/>
        </w:rPr>
      </w:pPr>
      <w:r>
        <w:rPr>
          <w:rFonts w:ascii="Times New Roman" w:hAnsi="Times New Roman"/>
          <w:sz w:val="24"/>
          <w:szCs w:val="24"/>
        </w:rPr>
        <w:t xml:space="preserve">          As shown in Table</w:t>
      </w:r>
      <w:r w:rsidR="00737FA5">
        <w:rPr>
          <w:rFonts w:ascii="Times New Roman" w:hAnsi="Times New Roman"/>
          <w:sz w:val="24"/>
          <w:szCs w:val="24"/>
        </w:rPr>
        <w:t xml:space="preserve"> </w:t>
      </w:r>
      <w:r>
        <w:rPr>
          <w:rFonts w:ascii="Times New Roman" w:hAnsi="Times New Roman"/>
          <w:sz w:val="24"/>
          <w:szCs w:val="24"/>
        </w:rPr>
        <w:t>5-2, both the percentage of mismatch for HUD</w:t>
      </w:r>
      <w:r w:rsidR="00CF591D">
        <w:rPr>
          <w:rFonts w:ascii="Times New Roman" w:hAnsi="Times New Roman"/>
          <w:sz w:val="24"/>
          <w:szCs w:val="24"/>
        </w:rPr>
        <w:t>/RD</w:t>
      </w:r>
      <w:r>
        <w:rPr>
          <w:rFonts w:ascii="Times New Roman" w:hAnsi="Times New Roman"/>
          <w:sz w:val="24"/>
          <w:szCs w:val="24"/>
        </w:rPr>
        <w:t xml:space="preserve"> funded </w:t>
      </w:r>
      <w:r w:rsidR="00737FA5">
        <w:rPr>
          <w:rFonts w:ascii="Times New Roman" w:hAnsi="Times New Roman"/>
          <w:sz w:val="24"/>
          <w:szCs w:val="24"/>
        </w:rPr>
        <w:t xml:space="preserve">units </w:t>
      </w:r>
      <w:r>
        <w:rPr>
          <w:rFonts w:ascii="Times New Roman" w:hAnsi="Times New Roman"/>
          <w:sz w:val="24"/>
          <w:szCs w:val="24"/>
        </w:rPr>
        <w:t>and FHFC/LHFA funded units reaches to around 90%</w:t>
      </w:r>
      <w:r w:rsidR="00737FA5">
        <w:rPr>
          <w:rFonts w:ascii="Times New Roman" w:hAnsi="Times New Roman"/>
          <w:sz w:val="24"/>
          <w:szCs w:val="24"/>
        </w:rPr>
        <w:t>,</w:t>
      </w:r>
      <w:r>
        <w:rPr>
          <w:rFonts w:ascii="Times New Roman" w:hAnsi="Times New Roman"/>
          <w:sz w:val="24"/>
          <w:szCs w:val="24"/>
        </w:rPr>
        <w:t xml:space="preserve"> which </w:t>
      </w:r>
      <w:r w:rsidR="00737FA5">
        <w:rPr>
          <w:rFonts w:ascii="Times New Roman" w:hAnsi="Times New Roman"/>
          <w:sz w:val="24"/>
          <w:szCs w:val="24"/>
        </w:rPr>
        <w:t xml:space="preserve">is consistent with the </w:t>
      </w:r>
      <w:r>
        <w:rPr>
          <w:rFonts w:ascii="Times New Roman" w:hAnsi="Times New Roman"/>
          <w:sz w:val="24"/>
          <w:szCs w:val="24"/>
        </w:rPr>
        <w:t>assumption that very small amount</w:t>
      </w:r>
      <w:r w:rsidR="00737FA5">
        <w:rPr>
          <w:rFonts w:ascii="Times New Roman" w:hAnsi="Times New Roman"/>
          <w:sz w:val="24"/>
          <w:szCs w:val="24"/>
        </w:rPr>
        <w:t>s</w:t>
      </w:r>
      <w:r>
        <w:rPr>
          <w:rFonts w:ascii="Times New Roman" w:hAnsi="Times New Roman"/>
          <w:sz w:val="24"/>
          <w:szCs w:val="24"/>
        </w:rPr>
        <w:t xml:space="preserve"> of these affordable housing units are within the walking distance to employment. When </w:t>
      </w:r>
      <w:r w:rsidR="00EA50DE">
        <w:rPr>
          <w:rFonts w:ascii="Times New Roman" w:hAnsi="Times New Roman"/>
          <w:sz w:val="24"/>
          <w:szCs w:val="24"/>
        </w:rPr>
        <w:t xml:space="preserve">the distance is </w:t>
      </w:r>
      <w:r>
        <w:rPr>
          <w:rFonts w:ascii="Times New Roman" w:hAnsi="Times New Roman"/>
          <w:sz w:val="24"/>
          <w:szCs w:val="24"/>
        </w:rPr>
        <w:t xml:space="preserve">increased to </w:t>
      </w:r>
      <w:r w:rsidR="00EA50DE">
        <w:rPr>
          <w:rFonts w:ascii="Times New Roman" w:hAnsi="Times New Roman"/>
          <w:sz w:val="24"/>
          <w:szCs w:val="24"/>
        </w:rPr>
        <w:t xml:space="preserve">a </w:t>
      </w:r>
      <w:r>
        <w:rPr>
          <w:rFonts w:ascii="Times New Roman" w:hAnsi="Times New Roman"/>
          <w:sz w:val="24"/>
          <w:szCs w:val="24"/>
        </w:rPr>
        <w:t xml:space="preserve">4-mile biking distance, the difference varies </w:t>
      </w:r>
      <w:r w:rsidR="00EA50DE">
        <w:rPr>
          <w:rFonts w:ascii="Times New Roman" w:hAnsi="Times New Roman"/>
          <w:sz w:val="24"/>
          <w:szCs w:val="24"/>
        </w:rPr>
        <w:t xml:space="preserve">in </w:t>
      </w:r>
      <w:r>
        <w:rPr>
          <w:rFonts w:ascii="Times New Roman" w:hAnsi="Times New Roman"/>
          <w:sz w:val="24"/>
          <w:szCs w:val="24"/>
        </w:rPr>
        <w:t>that the mismatch was still above</w:t>
      </w:r>
      <w:r w:rsidR="00FB0845">
        <w:rPr>
          <w:rFonts w:ascii="Times New Roman" w:hAnsi="Times New Roman"/>
          <w:sz w:val="24"/>
          <w:szCs w:val="24"/>
        </w:rPr>
        <w:t xml:space="preserve"> 50% for HUD funded housing units</w:t>
      </w:r>
      <w:r w:rsidR="00EA50DE">
        <w:rPr>
          <w:rFonts w:ascii="Times New Roman" w:hAnsi="Times New Roman"/>
          <w:sz w:val="24"/>
          <w:szCs w:val="24"/>
        </w:rPr>
        <w:t>,</w:t>
      </w:r>
      <w:r w:rsidR="00FB0845">
        <w:rPr>
          <w:rFonts w:ascii="Times New Roman" w:hAnsi="Times New Roman"/>
          <w:sz w:val="24"/>
          <w:szCs w:val="24"/>
        </w:rPr>
        <w:t xml:space="preserve"> while it falls to 40% of mismatch for FHFC/LHFA funded housing units. </w:t>
      </w:r>
      <w:r w:rsidR="00FB0845">
        <w:rPr>
          <w:rFonts w:ascii="Times New Roman" w:hAnsi="Times New Roman"/>
          <w:sz w:val="24"/>
          <w:szCs w:val="24"/>
        </w:rPr>
        <w:lastRenderedPageBreak/>
        <w:t xml:space="preserve">For either funding source, the mismatch </w:t>
      </w:r>
      <w:r w:rsidR="00D909DB">
        <w:rPr>
          <w:rFonts w:ascii="Times New Roman" w:hAnsi="Times New Roman"/>
          <w:sz w:val="24"/>
          <w:szCs w:val="24"/>
        </w:rPr>
        <w:t>of housing</w:t>
      </w:r>
      <w:r w:rsidR="00FB0845">
        <w:rPr>
          <w:rFonts w:ascii="Times New Roman" w:hAnsi="Times New Roman"/>
          <w:sz w:val="24"/>
          <w:szCs w:val="24"/>
        </w:rPr>
        <w:t xml:space="preserve"> units showed larger percentage</w:t>
      </w:r>
      <w:r w:rsidR="000169AE">
        <w:rPr>
          <w:rFonts w:ascii="Times New Roman" w:hAnsi="Times New Roman"/>
          <w:sz w:val="24"/>
          <w:szCs w:val="24"/>
        </w:rPr>
        <w:t>s</w:t>
      </w:r>
      <w:r w:rsidR="00FB0845">
        <w:rPr>
          <w:rFonts w:ascii="Times New Roman" w:hAnsi="Times New Roman"/>
          <w:sz w:val="24"/>
          <w:szCs w:val="24"/>
        </w:rPr>
        <w:t xml:space="preserve"> for </w:t>
      </w:r>
      <w:r w:rsidR="003C2545">
        <w:rPr>
          <w:rFonts w:ascii="Times New Roman" w:hAnsi="Times New Roman"/>
          <w:sz w:val="24"/>
          <w:szCs w:val="24"/>
        </w:rPr>
        <w:t>VLI</w:t>
      </w:r>
      <w:r w:rsidR="00FB0845">
        <w:rPr>
          <w:rFonts w:ascii="Times New Roman" w:hAnsi="Times New Roman"/>
          <w:sz w:val="24"/>
          <w:szCs w:val="24"/>
        </w:rPr>
        <w:t xml:space="preserve"> population</w:t>
      </w:r>
      <w:r w:rsidR="000169AE">
        <w:rPr>
          <w:rFonts w:ascii="Times New Roman" w:hAnsi="Times New Roman"/>
          <w:sz w:val="24"/>
          <w:szCs w:val="24"/>
        </w:rPr>
        <w:t>s</w:t>
      </w:r>
      <w:r w:rsidR="00FB0845">
        <w:rPr>
          <w:rFonts w:ascii="Times New Roman" w:hAnsi="Times New Roman"/>
          <w:sz w:val="24"/>
          <w:szCs w:val="24"/>
        </w:rPr>
        <w:t xml:space="preserve"> than </w:t>
      </w:r>
      <w:r w:rsidR="000169AE">
        <w:rPr>
          <w:rFonts w:ascii="Times New Roman" w:hAnsi="Times New Roman"/>
          <w:sz w:val="24"/>
          <w:szCs w:val="24"/>
        </w:rPr>
        <w:t xml:space="preserve">for </w:t>
      </w:r>
      <w:r w:rsidR="003C2545">
        <w:rPr>
          <w:rFonts w:ascii="Times New Roman" w:hAnsi="Times New Roman"/>
          <w:sz w:val="24"/>
          <w:szCs w:val="24"/>
        </w:rPr>
        <w:t>LI</w:t>
      </w:r>
      <w:r w:rsidR="00FB0845">
        <w:rPr>
          <w:rFonts w:ascii="Times New Roman" w:hAnsi="Times New Roman"/>
          <w:sz w:val="24"/>
          <w:szCs w:val="24"/>
        </w:rPr>
        <w:t xml:space="preserve"> population</w:t>
      </w:r>
      <w:r w:rsidR="000169AE">
        <w:rPr>
          <w:rFonts w:ascii="Times New Roman" w:hAnsi="Times New Roman"/>
          <w:sz w:val="24"/>
          <w:szCs w:val="24"/>
        </w:rPr>
        <w:t>s</w:t>
      </w:r>
      <w:r w:rsidR="00FB0845">
        <w:rPr>
          <w:rFonts w:ascii="Times New Roman" w:hAnsi="Times New Roman"/>
          <w:sz w:val="24"/>
          <w:szCs w:val="24"/>
        </w:rPr>
        <w:t>.</w:t>
      </w:r>
      <w:r w:rsidR="00D909DB" w:rsidRPr="00112A9C">
        <w:rPr>
          <w:rFonts w:ascii="Times New Roman" w:hAnsi="Times New Roman"/>
          <w:sz w:val="24"/>
          <w:szCs w:val="24"/>
        </w:rPr>
        <w:t xml:space="preserve"> </w:t>
      </w:r>
    </w:p>
    <w:p w:rsidR="00112A9C" w:rsidRDefault="00112A9C" w:rsidP="00112A9C">
      <w:pPr>
        <w:spacing w:line="480" w:lineRule="auto"/>
        <w:rPr>
          <w:rFonts w:ascii="Times New Roman" w:hAnsi="Times New Roman"/>
          <w:sz w:val="24"/>
          <w:szCs w:val="24"/>
        </w:rPr>
      </w:pPr>
      <w:r>
        <w:rPr>
          <w:rFonts w:ascii="Times New Roman" w:hAnsi="Times New Roman"/>
          <w:sz w:val="24"/>
          <w:szCs w:val="24"/>
        </w:rPr>
        <w:t>5.3 Spatial identification of oversupply</w:t>
      </w:r>
    </w:p>
    <w:p w:rsidR="00112A9C" w:rsidRPr="00112A9C" w:rsidRDefault="00112A9C" w:rsidP="00D2442C">
      <w:pPr>
        <w:spacing w:line="480" w:lineRule="auto"/>
        <w:ind w:firstLine="720"/>
        <w:rPr>
          <w:rFonts w:ascii="Times New Roman" w:hAnsi="Times New Roman"/>
          <w:sz w:val="24"/>
          <w:szCs w:val="24"/>
        </w:rPr>
      </w:pPr>
      <w:r>
        <w:rPr>
          <w:rFonts w:ascii="Times New Roman" w:hAnsi="Times New Roman"/>
          <w:sz w:val="24"/>
          <w:szCs w:val="24"/>
        </w:rPr>
        <w:t>The spatial mismatch maps show the location of matching and mismatching between the supply and demand</w:t>
      </w:r>
      <w:r w:rsidR="00E216B0">
        <w:rPr>
          <w:rFonts w:ascii="Times New Roman" w:hAnsi="Times New Roman"/>
          <w:sz w:val="24"/>
          <w:szCs w:val="24"/>
        </w:rPr>
        <w:t xml:space="preserve"> for affordable housing units</w:t>
      </w:r>
      <w:r>
        <w:rPr>
          <w:rFonts w:ascii="Times New Roman" w:hAnsi="Times New Roman"/>
          <w:sz w:val="24"/>
          <w:szCs w:val="24"/>
        </w:rPr>
        <w:t xml:space="preserve">. The maps </w:t>
      </w:r>
      <w:r w:rsidR="00463336">
        <w:rPr>
          <w:rFonts w:ascii="Times New Roman" w:hAnsi="Times New Roman"/>
          <w:sz w:val="24"/>
          <w:szCs w:val="24"/>
        </w:rPr>
        <w:t xml:space="preserve">in Figures 5.2 </w:t>
      </w:r>
      <w:r w:rsidR="008B1095">
        <w:rPr>
          <w:rFonts w:ascii="Times New Roman" w:hAnsi="Times New Roman"/>
          <w:sz w:val="24"/>
          <w:szCs w:val="24"/>
        </w:rPr>
        <w:t>through</w:t>
      </w:r>
      <w:r w:rsidR="003C2545">
        <w:rPr>
          <w:rFonts w:ascii="Times New Roman" w:hAnsi="Times New Roman"/>
          <w:sz w:val="24"/>
          <w:szCs w:val="24"/>
        </w:rPr>
        <w:t xml:space="preserve"> </w:t>
      </w:r>
      <w:r w:rsidR="00463336">
        <w:rPr>
          <w:rFonts w:ascii="Times New Roman" w:hAnsi="Times New Roman"/>
          <w:sz w:val="24"/>
          <w:szCs w:val="24"/>
        </w:rPr>
        <w:t xml:space="preserve">5.5 </w:t>
      </w:r>
      <w:r>
        <w:rPr>
          <w:rFonts w:ascii="Times New Roman" w:hAnsi="Times New Roman"/>
          <w:sz w:val="24"/>
          <w:szCs w:val="24"/>
        </w:rPr>
        <w:t>do not show if the mismatch location</w:t>
      </w:r>
      <w:r w:rsidR="008B1095">
        <w:rPr>
          <w:rFonts w:ascii="Times New Roman" w:hAnsi="Times New Roman"/>
          <w:sz w:val="24"/>
          <w:szCs w:val="24"/>
        </w:rPr>
        <w:t>s</w:t>
      </w:r>
      <w:r>
        <w:rPr>
          <w:rFonts w:ascii="Times New Roman" w:hAnsi="Times New Roman"/>
          <w:sz w:val="24"/>
          <w:szCs w:val="24"/>
        </w:rPr>
        <w:t xml:space="preserve"> have more supply </w:t>
      </w:r>
      <w:r w:rsidR="00463336">
        <w:rPr>
          <w:rFonts w:ascii="Times New Roman" w:hAnsi="Times New Roman"/>
          <w:sz w:val="24"/>
          <w:szCs w:val="24"/>
        </w:rPr>
        <w:t>or</w:t>
      </w:r>
      <w:r>
        <w:rPr>
          <w:rFonts w:ascii="Times New Roman" w:hAnsi="Times New Roman"/>
          <w:sz w:val="24"/>
          <w:szCs w:val="24"/>
        </w:rPr>
        <w:t xml:space="preserve"> more demand. Figu</w:t>
      </w:r>
      <w:r w:rsidR="006B712A">
        <w:rPr>
          <w:rFonts w:ascii="Times New Roman" w:hAnsi="Times New Roman"/>
          <w:sz w:val="24"/>
          <w:szCs w:val="24"/>
        </w:rPr>
        <w:t>res 5.8 and 5.9 show the supply</w:t>
      </w:r>
      <w:r w:rsidR="008B1095">
        <w:rPr>
          <w:rFonts w:ascii="Times New Roman" w:hAnsi="Times New Roman"/>
          <w:sz w:val="24"/>
          <w:szCs w:val="24"/>
        </w:rPr>
        <w:t>-</w:t>
      </w:r>
      <w:r>
        <w:rPr>
          <w:rFonts w:ascii="Times New Roman" w:hAnsi="Times New Roman"/>
          <w:sz w:val="24"/>
          <w:szCs w:val="24"/>
        </w:rPr>
        <w:t>demand balance</w:t>
      </w:r>
      <w:r w:rsidR="006B712A">
        <w:rPr>
          <w:rFonts w:ascii="Times New Roman" w:hAnsi="Times New Roman"/>
          <w:sz w:val="24"/>
          <w:szCs w:val="24"/>
        </w:rPr>
        <w:t>,</w:t>
      </w:r>
      <w:r>
        <w:rPr>
          <w:rFonts w:ascii="Times New Roman" w:hAnsi="Times New Roman"/>
          <w:sz w:val="24"/>
          <w:szCs w:val="24"/>
        </w:rPr>
        <w:t xml:space="preserve"> </w:t>
      </w:r>
      <w:r w:rsidR="008B1095">
        <w:rPr>
          <w:rFonts w:ascii="Times New Roman" w:hAnsi="Times New Roman"/>
          <w:sz w:val="24"/>
          <w:szCs w:val="24"/>
        </w:rPr>
        <w:t xml:space="preserve">the location of areas </w:t>
      </w:r>
      <w:r>
        <w:rPr>
          <w:rFonts w:ascii="Times New Roman" w:hAnsi="Times New Roman"/>
          <w:sz w:val="24"/>
          <w:szCs w:val="24"/>
        </w:rPr>
        <w:t>of oversupply</w:t>
      </w:r>
      <w:r w:rsidR="008B1095">
        <w:rPr>
          <w:rFonts w:ascii="Times New Roman" w:hAnsi="Times New Roman"/>
          <w:sz w:val="24"/>
          <w:szCs w:val="24"/>
        </w:rPr>
        <w:t>,</w:t>
      </w:r>
      <w:r>
        <w:rPr>
          <w:rFonts w:ascii="Times New Roman" w:hAnsi="Times New Roman"/>
          <w:sz w:val="24"/>
          <w:szCs w:val="24"/>
        </w:rPr>
        <w:t xml:space="preserve"> and </w:t>
      </w:r>
      <w:r w:rsidR="008B1095">
        <w:rPr>
          <w:rFonts w:ascii="Times New Roman" w:hAnsi="Times New Roman"/>
          <w:sz w:val="24"/>
          <w:szCs w:val="24"/>
        </w:rPr>
        <w:t xml:space="preserve">areas </w:t>
      </w:r>
      <w:r>
        <w:rPr>
          <w:rFonts w:ascii="Times New Roman" w:hAnsi="Times New Roman"/>
          <w:sz w:val="24"/>
          <w:szCs w:val="24"/>
        </w:rPr>
        <w:t xml:space="preserve">that are still in need of affordable housing units. These </w:t>
      </w:r>
      <w:r w:rsidR="006B712A">
        <w:rPr>
          <w:rFonts w:ascii="Times New Roman" w:hAnsi="Times New Roman"/>
          <w:sz w:val="24"/>
          <w:szCs w:val="24"/>
        </w:rPr>
        <w:t>maps can help housing finance agencies in the allocation of new affordable housing units. The maps can also show the places that have an oversupply when compared to county averages. However, further studies are needed for the explanation of why these places are attractive to low income population.</w:t>
      </w:r>
      <w:r>
        <w:rPr>
          <w:rFonts w:ascii="Times New Roman" w:hAnsi="Times New Roman"/>
          <w:sz w:val="24"/>
          <w:szCs w:val="24"/>
        </w:rPr>
        <w:t xml:space="preserve"> </w:t>
      </w:r>
    </w:p>
    <w:p w:rsidR="001E15A7" w:rsidRDefault="001E15A7" w:rsidP="0025787D">
      <w:pPr>
        <w:spacing w:line="480" w:lineRule="auto"/>
        <w:rPr>
          <w:rFonts w:ascii="Times New Roman" w:hAnsi="Times New Roman"/>
          <w:b/>
          <w:sz w:val="24"/>
          <w:szCs w:val="24"/>
        </w:rPr>
      </w:pPr>
      <w:r>
        <w:rPr>
          <w:rFonts w:ascii="Times New Roman" w:hAnsi="Times New Roman"/>
          <w:b/>
          <w:sz w:val="24"/>
          <w:szCs w:val="24"/>
        </w:rPr>
        <w:t xml:space="preserve">6 </w:t>
      </w:r>
      <w:r w:rsidR="00D909DB">
        <w:rPr>
          <w:rFonts w:ascii="Times New Roman" w:hAnsi="Times New Roman"/>
          <w:b/>
          <w:sz w:val="24"/>
          <w:szCs w:val="24"/>
        </w:rPr>
        <w:t xml:space="preserve">Conclusions and </w:t>
      </w:r>
      <w:r>
        <w:rPr>
          <w:rFonts w:ascii="Times New Roman" w:hAnsi="Times New Roman"/>
          <w:b/>
          <w:sz w:val="24"/>
          <w:szCs w:val="24"/>
        </w:rPr>
        <w:t>Discussions</w:t>
      </w:r>
    </w:p>
    <w:p w:rsidR="00BC5816" w:rsidRDefault="004C028A" w:rsidP="00D2442C">
      <w:pPr>
        <w:pStyle w:val="ListParagraph"/>
        <w:spacing w:line="480" w:lineRule="auto"/>
        <w:ind w:left="0" w:firstLine="720"/>
        <w:rPr>
          <w:rFonts w:ascii="Times New Roman" w:hAnsi="Times New Roman"/>
          <w:sz w:val="24"/>
          <w:szCs w:val="24"/>
        </w:rPr>
      </w:pPr>
      <w:r>
        <w:rPr>
          <w:rFonts w:ascii="Times New Roman" w:hAnsi="Times New Roman"/>
          <w:sz w:val="24"/>
          <w:szCs w:val="24"/>
        </w:rPr>
        <w:t xml:space="preserve">In this study, the </w:t>
      </w:r>
      <w:r w:rsidR="00780C07">
        <w:rPr>
          <w:rFonts w:ascii="Times New Roman" w:hAnsi="Times New Roman"/>
          <w:sz w:val="24"/>
          <w:szCs w:val="24"/>
        </w:rPr>
        <w:t xml:space="preserve">comparison of </w:t>
      </w:r>
      <w:r>
        <w:rPr>
          <w:rFonts w:ascii="Times New Roman" w:hAnsi="Times New Roman"/>
          <w:sz w:val="24"/>
          <w:szCs w:val="24"/>
        </w:rPr>
        <w:t>mismatch of location</w:t>
      </w:r>
      <w:r w:rsidR="00780C07">
        <w:rPr>
          <w:rFonts w:ascii="Times New Roman" w:hAnsi="Times New Roman"/>
          <w:sz w:val="24"/>
          <w:szCs w:val="24"/>
        </w:rPr>
        <w:t>s</w:t>
      </w:r>
      <w:r>
        <w:rPr>
          <w:rFonts w:ascii="Times New Roman" w:hAnsi="Times New Roman"/>
          <w:sz w:val="24"/>
          <w:szCs w:val="24"/>
        </w:rPr>
        <w:t xml:space="preserve"> between multi-family and AHI housing units </w:t>
      </w:r>
      <w:r w:rsidR="00164246">
        <w:rPr>
          <w:rFonts w:ascii="Times New Roman" w:hAnsi="Times New Roman"/>
          <w:sz w:val="24"/>
          <w:szCs w:val="24"/>
        </w:rPr>
        <w:t xml:space="preserve">indicates </w:t>
      </w:r>
      <w:r>
        <w:rPr>
          <w:rFonts w:ascii="Times New Roman" w:hAnsi="Times New Roman"/>
          <w:sz w:val="24"/>
          <w:szCs w:val="24"/>
        </w:rPr>
        <w:t xml:space="preserve">that the </w:t>
      </w:r>
      <w:r w:rsidR="00B71C79">
        <w:rPr>
          <w:rFonts w:ascii="Times New Roman" w:hAnsi="Times New Roman"/>
          <w:sz w:val="24"/>
          <w:szCs w:val="24"/>
        </w:rPr>
        <w:t xml:space="preserve">majority </w:t>
      </w:r>
      <w:r w:rsidR="00717FBF">
        <w:rPr>
          <w:rFonts w:ascii="Times New Roman" w:hAnsi="Times New Roman"/>
          <w:sz w:val="24"/>
          <w:szCs w:val="24"/>
        </w:rPr>
        <w:t xml:space="preserve">of properties in either </w:t>
      </w:r>
      <w:r w:rsidR="00780C07">
        <w:rPr>
          <w:rFonts w:ascii="Times New Roman" w:hAnsi="Times New Roman"/>
          <w:sz w:val="24"/>
          <w:szCs w:val="24"/>
        </w:rPr>
        <w:t xml:space="preserve">multi-family </w:t>
      </w:r>
      <w:r w:rsidR="00717FBF">
        <w:rPr>
          <w:rFonts w:ascii="Times New Roman" w:hAnsi="Times New Roman"/>
          <w:sz w:val="24"/>
          <w:szCs w:val="24"/>
        </w:rPr>
        <w:t>or AHI</w:t>
      </w:r>
      <w:r>
        <w:rPr>
          <w:rFonts w:ascii="Times New Roman" w:hAnsi="Times New Roman"/>
          <w:sz w:val="24"/>
          <w:szCs w:val="24"/>
        </w:rPr>
        <w:t xml:space="preserve"> </w:t>
      </w:r>
      <w:r w:rsidR="00780C07">
        <w:rPr>
          <w:rFonts w:ascii="Times New Roman" w:hAnsi="Times New Roman"/>
          <w:sz w:val="24"/>
          <w:szCs w:val="24"/>
        </w:rPr>
        <w:t>are</w:t>
      </w:r>
      <w:r>
        <w:rPr>
          <w:rFonts w:ascii="Times New Roman" w:hAnsi="Times New Roman"/>
          <w:sz w:val="24"/>
          <w:szCs w:val="24"/>
        </w:rPr>
        <w:t xml:space="preserve"> located in places that</w:t>
      </w:r>
      <w:r w:rsidR="007320D9">
        <w:rPr>
          <w:rFonts w:ascii="Times New Roman" w:hAnsi="Times New Roman"/>
          <w:sz w:val="24"/>
          <w:szCs w:val="24"/>
        </w:rPr>
        <w:t xml:space="preserve"> have</w:t>
      </w:r>
      <w:r w:rsidR="003C2545">
        <w:rPr>
          <w:rFonts w:ascii="Times New Roman" w:hAnsi="Times New Roman"/>
          <w:sz w:val="24"/>
          <w:szCs w:val="24"/>
        </w:rPr>
        <w:t xml:space="preserve"> a</w:t>
      </w:r>
      <w:r>
        <w:rPr>
          <w:rFonts w:ascii="Times New Roman" w:hAnsi="Times New Roman"/>
          <w:sz w:val="24"/>
          <w:szCs w:val="24"/>
        </w:rPr>
        <w:t xml:space="preserve"> </w:t>
      </w:r>
      <w:r w:rsidR="00780C07">
        <w:rPr>
          <w:rFonts w:ascii="Times New Roman" w:hAnsi="Times New Roman"/>
          <w:sz w:val="24"/>
          <w:szCs w:val="24"/>
        </w:rPr>
        <w:t xml:space="preserve">large number of </w:t>
      </w:r>
      <w:r w:rsidR="007320D9">
        <w:rPr>
          <w:rFonts w:ascii="Times New Roman" w:hAnsi="Times New Roman"/>
          <w:sz w:val="24"/>
          <w:szCs w:val="24"/>
        </w:rPr>
        <w:t>low-</w:t>
      </w:r>
      <w:r w:rsidR="00B71C79">
        <w:rPr>
          <w:rFonts w:ascii="Times New Roman" w:hAnsi="Times New Roman"/>
          <w:sz w:val="24"/>
          <w:szCs w:val="24"/>
        </w:rPr>
        <w:t>income job opportunities</w:t>
      </w:r>
      <w:r w:rsidR="00717FBF">
        <w:rPr>
          <w:rFonts w:ascii="Times New Roman" w:hAnsi="Times New Roman"/>
          <w:sz w:val="24"/>
          <w:szCs w:val="24"/>
        </w:rPr>
        <w:t xml:space="preserve"> within biking and driving distances</w:t>
      </w:r>
      <w:r>
        <w:rPr>
          <w:rFonts w:ascii="Times New Roman" w:hAnsi="Times New Roman"/>
          <w:sz w:val="24"/>
          <w:szCs w:val="24"/>
        </w:rPr>
        <w:t xml:space="preserve">. Within these two types of housing </w:t>
      </w:r>
      <w:r w:rsidR="007320D9">
        <w:rPr>
          <w:rFonts w:ascii="Times New Roman" w:hAnsi="Times New Roman"/>
          <w:sz w:val="24"/>
          <w:szCs w:val="24"/>
        </w:rPr>
        <w:t>units</w:t>
      </w:r>
      <w:r w:rsidR="00780C07">
        <w:rPr>
          <w:rFonts w:ascii="Times New Roman" w:hAnsi="Times New Roman"/>
          <w:sz w:val="24"/>
          <w:szCs w:val="24"/>
        </w:rPr>
        <w:t>,</w:t>
      </w:r>
      <w:r w:rsidR="007320D9">
        <w:rPr>
          <w:rFonts w:ascii="Times New Roman" w:hAnsi="Times New Roman"/>
          <w:sz w:val="24"/>
          <w:szCs w:val="24"/>
        </w:rPr>
        <w:t xml:space="preserve"> and </w:t>
      </w:r>
      <w:r w:rsidR="00780C07">
        <w:rPr>
          <w:rFonts w:ascii="Times New Roman" w:hAnsi="Times New Roman"/>
          <w:sz w:val="24"/>
          <w:szCs w:val="24"/>
        </w:rPr>
        <w:t xml:space="preserve">by </w:t>
      </w:r>
      <w:r w:rsidR="007320D9">
        <w:rPr>
          <w:rFonts w:ascii="Times New Roman" w:hAnsi="Times New Roman"/>
          <w:sz w:val="24"/>
          <w:szCs w:val="24"/>
        </w:rPr>
        <w:t>comparing the units</w:t>
      </w:r>
      <w:r w:rsidR="00780C07">
        <w:rPr>
          <w:rFonts w:ascii="Times New Roman" w:hAnsi="Times New Roman"/>
          <w:sz w:val="24"/>
          <w:szCs w:val="24"/>
        </w:rPr>
        <w:t xml:space="preserve"> with county averages in terms of housing supply and demand, </w:t>
      </w:r>
      <w:r w:rsidR="00B71C79">
        <w:rPr>
          <w:rFonts w:ascii="Times New Roman" w:hAnsi="Times New Roman"/>
          <w:sz w:val="24"/>
          <w:szCs w:val="24"/>
        </w:rPr>
        <w:t>there is a slight difference in supply</w:t>
      </w:r>
      <w:r w:rsidR="00780C07">
        <w:rPr>
          <w:rFonts w:ascii="Times New Roman" w:hAnsi="Times New Roman"/>
          <w:sz w:val="24"/>
          <w:szCs w:val="24"/>
        </w:rPr>
        <w:t>-</w:t>
      </w:r>
      <w:r w:rsidR="00B71C79">
        <w:rPr>
          <w:rFonts w:ascii="Times New Roman" w:hAnsi="Times New Roman"/>
          <w:sz w:val="24"/>
          <w:szCs w:val="24"/>
        </w:rPr>
        <w:t>demand balance. L</w:t>
      </w:r>
      <w:r>
        <w:rPr>
          <w:rFonts w:ascii="Times New Roman" w:hAnsi="Times New Roman"/>
          <w:sz w:val="24"/>
          <w:szCs w:val="24"/>
        </w:rPr>
        <w:t xml:space="preserve">ow income </w:t>
      </w:r>
      <w:r w:rsidR="00B71C79">
        <w:rPr>
          <w:rFonts w:ascii="Times New Roman" w:hAnsi="Times New Roman"/>
          <w:sz w:val="24"/>
          <w:szCs w:val="24"/>
        </w:rPr>
        <w:t xml:space="preserve">population demand shows fewer mismatches with supply than the </w:t>
      </w:r>
      <w:r>
        <w:rPr>
          <w:rFonts w:ascii="Times New Roman" w:hAnsi="Times New Roman"/>
          <w:sz w:val="24"/>
          <w:szCs w:val="24"/>
        </w:rPr>
        <w:t>very low income population</w:t>
      </w:r>
      <w:r w:rsidR="00B71C79">
        <w:rPr>
          <w:rFonts w:ascii="Times New Roman" w:hAnsi="Times New Roman"/>
          <w:sz w:val="24"/>
          <w:szCs w:val="24"/>
        </w:rPr>
        <w:t xml:space="preserve"> demand</w:t>
      </w:r>
      <w:r>
        <w:rPr>
          <w:rFonts w:ascii="Times New Roman" w:hAnsi="Times New Roman"/>
          <w:sz w:val="24"/>
          <w:szCs w:val="24"/>
        </w:rPr>
        <w:t>.</w:t>
      </w:r>
      <w:r w:rsidRPr="004C028A">
        <w:rPr>
          <w:rFonts w:ascii="Times New Roman" w:hAnsi="Times New Roman"/>
          <w:sz w:val="24"/>
          <w:szCs w:val="24"/>
        </w:rPr>
        <w:t xml:space="preserve"> </w:t>
      </w:r>
      <w:r>
        <w:rPr>
          <w:rFonts w:ascii="Times New Roman" w:hAnsi="Times New Roman"/>
          <w:sz w:val="24"/>
          <w:szCs w:val="24"/>
        </w:rPr>
        <w:t>I</w:t>
      </w:r>
      <w:r w:rsidRPr="004C028A">
        <w:rPr>
          <w:rFonts w:ascii="Times New Roman" w:hAnsi="Times New Roman"/>
          <w:sz w:val="24"/>
          <w:szCs w:val="24"/>
        </w:rPr>
        <w:t>n accordance with</w:t>
      </w:r>
      <w:r>
        <w:rPr>
          <w:rFonts w:ascii="Times New Roman" w:hAnsi="Times New Roman"/>
          <w:sz w:val="24"/>
          <w:szCs w:val="24"/>
        </w:rPr>
        <w:t xml:space="preserve"> different funding sources for the affordable housing units, in general, </w:t>
      </w:r>
      <w:r w:rsidR="00C3038B">
        <w:rPr>
          <w:rFonts w:ascii="Times New Roman" w:hAnsi="Times New Roman"/>
          <w:sz w:val="24"/>
          <w:szCs w:val="24"/>
        </w:rPr>
        <w:t xml:space="preserve">the </w:t>
      </w:r>
      <w:r>
        <w:rPr>
          <w:rFonts w:ascii="Times New Roman" w:hAnsi="Times New Roman"/>
          <w:sz w:val="24"/>
          <w:szCs w:val="24"/>
        </w:rPr>
        <w:t xml:space="preserve">FHFC/LHFA funded </w:t>
      </w:r>
      <w:r w:rsidR="00B71C79">
        <w:rPr>
          <w:rFonts w:ascii="Times New Roman" w:hAnsi="Times New Roman"/>
          <w:sz w:val="24"/>
          <w:szCs w:val="24"/>
        </w:rPr>
        <w:t>housing units were much bet</w:t>
      </w:r>
      <w:r w:rsidR="007320D9">
        <w:rPr>
          <w:rFonts w:ascii="Times New Roman" w:hAnsi="Times New Roman"/>
          <w:sz w:val="24"/>
          <w:szCs w:val="24"/>
        </w:rPr>
        <w:t>ter in term</w:t>
      </w:r>
      <w:r w:rsidR="00780C07">
        <w:rPr>
          <w:rFonts w:ascii="Times New Roman" w:hAnsi="Times New Roman"/>
          <w:sz w:val="24"/>
          <w:szCs w:val="24"/>
        </w:rPr>
        <w:t>s</w:t>
      </w:r>
      <w:r w:rsidR="007320D9">
        <w:rPr>
          <w:rFonts w:ascii="Times New Roman" w:hAnsi="Times New Roman"/>
          <w:sz w:val="24"/>
          <w:szCs w:val="24"/>
        </w:rPr>
        <w:t xml:space="preserve"> of </w:t>
      </w:r>
      <w:r w:rsidR="00780C07">
        <w:rPr>
          <w:rFonts w:ascii="Times New Roman" w:hAnsi="Times New Roman"/>
          <w:sz w:val="24"/>
          <w:szCs w:val="24"/>
        </w:rPr>
        <w:t xml:space="preserve">their </w:t>
      </w:r>
      <w:r w:rsidR="007320D9">
        <w:rPr>
          <w:rFonts w:ascii="Times New Roman" w:hAnsi="Times New Roman"/>
          <w:sz w:val="24"/>
          <w:szCs w:val="24"/>
        </w:rPr>
        <w:t>supply</w:t>
      </w:r>
      <w:r w:rsidR="00780C07">
        <w:rPr>
          <w:rFonts w:ascii="Times New Roman" w:hAnsi="Times New Roman"/>
          <w:sz w:val="24"/>
          <w:szCs w:val="24"/>
        </w:rPr>
        <w:t>-</w:t>
      </w:r>
      <w:r w:rsidR="007320D9">
        <w:rPr>
          <w:rFonts w:ascii="Times New Roman" w:hAnsi="Times New Roman"/>
          <w:sz w:val="24"/>
          <w:szCs w:val="24"/>
        </w:rPr>
        <w:t xml:space="preserve">demand </w:t>
      </w:r>
      <w:r w:rsidR="007320D9">
        <w:rPr>
          <w:rFonts w:ascii="Times New Roman" w:hAnsi="Times New Roman"/>
          <w:sz w:val="24"/>
          <w:szCs w:val="24"/>
        </w:rPr>
        <w:lastRenderedPageBreak/>
        <w:t xml:space="preserve">balance </w:t>
      </w:r>
      <w:r w:rsidR="00EB1D07">
        <w:rPr>
          <w:rFonts w:ascii="Times New Roman" w:hAnsi="Times New Roman"/>
          <w:sz w:val="24"/>
          <w:szCs w:val="24"/>
        </w:rPr>
        <w:t>for</w:t>
      </w:r>
      <w:r>
        <w:rPr>
          <w:rFonts w:ascii="Times New Roman" w:hAnsi="Times New Roman"/>
          <w:sz w:val="24"/>
          <w:szCs w:val="24"/>
        </w:rPr>
        <w:t xml:space="preserve"> lower income population</w:t>
      </w:r>
      <w:r w:rsidR="00780C07">
        <w:rPr>
          <w:rFonts w:ascii="Times New Roman" w:hAnsi="Times New Roman"/>
          <w:sz w:val="24"/>
          <w:szCs w:val="24"/>
        </w:rPr>
        <w:t>s</w:t>
      </w:r>
      <w:r w:rsidR="00BC5816">
        <w:rPr>
          <w:rFonts w:ascii="Times New Roman" w:hAnsi="Times New Roman"/>
          <w:sz w:val="24"/>
          <w:szCs w:val="24"/>
        </w:rPr>
        <w:t xml:space="preserve"> t</w:t>
      </w:r>
      <w:r w:rsidR="00C3038B">
        <w:rPr>
          <w:rFonts w:ascii="Times New Roman" w:hAnsi="Times New Roman"/>
          <w:sz w:val="24"/>
          <w:szCs w:val="24"/>
        </w:rPr>
        <w:t>han HUD funded housing units.</w:t>
      </w:r>
      <w:r w:rsidR="00EB1D07">
        <w:rPr>
          <w:rFonts w:ascii="Times New Roman" w:hAnsi="Times New Roman"/>
          <w:sz w:val="24"/>
          <w:szCs w:val="24"/>
        </w:rPr>
        <w:t xml:space="preserve"> For </w:t>
      </w:r>
      <w:r w:rsidR="007320D9">
        <w:rPr>
          <w:rFonts w:ascii="Times New Roman" w:hAnsi="Times New Roman"/>
          <w:sz w:val="24"/>
          <w:szCs w:val="24"/>
        </w:rPr>
        <w:t xml:space="preserve">the </w:t>
      </w:r>
      <w:r w:rsidR="00EB1D07">
        <w:rPr>
          <w:rFonts w:ascii="Times New Roman" w:hAnsi="Times New Roman"/>
          <w:sz w:val="24"/>
          <w:szCs w:val="24"/>
        </w:rPr>
        <w:t>latter properties</w:t>
      </w:r>
      <w:r w:rsidR="007320D9">
        <w:rPr>
          <w:rFonts w:ascii="Times New Roman" w:hAnsi="Times New Roman"/>
          <w:sz w:val="24"/>
          <w:szCs w:val="24"/>
        </w:rPr>
        <w:t>,</w:t>
      </w:r>
      <w:r w:rsidR="00EB1D07">
        <w:rPr>
          <w:rFonts w:ascii="Times New Roman" w:hAnsi="Times New Roman"/>
          <w:sz w:val="24"/>
          <w:szCs w:val="24"/>
        </w:rPr>
        <w:t xml:space="preserve"> low income </w:t>
      </w:r>
      <w:r w:rsidR="007320D9">
        <w:rPr>
          <w:rFonts w:ascii="Times New Roman" w:hAnsi="Times New Roman"/>
          <w:sz w:val="24"/>
          <w:szCs w:val="24"/>
        </w:rPr>
        <w:t xml:space="preserve">population demand </w:t>
      </w:r>
      <w:r w:rsidR="00EB1D07">
        <w:rPr>
          <w:rFonts w:ascii="Times New Roman" w:hAnsi="Times New Roman"/>
          <w:sz w:val="24"/>
          <w:szCs w:val="24"/>
        </w:rPr>
        <w:t xml:space="preserve">still </w:t>
      </w:r>
      <w:r w:rsidR="00780C07">
        <w:rPr>
          <w:rFonts w:ascii="Times New Roman" w:hAnsi="Times New Roman"/>
          <w:sz w:val="24"/>
          <w:szCs w:val="24"/>
        </w:rPr>
        <w:t xml:space="preserve">had </w:t>
      </w:r>
      <w:r w:rsidR="00EB1D07">
        <w:rPr>
          <w:rFonts w:ascii="Times New Roman" w:hAnsi="Times New Roman"/>
          <w:sz w:val="24"/>
          <w:szCs w:val="24"/>
        </w:rPr>
        <w:t xml:space="preserve">fewer mismatches </w:t>
      </w:r>
      <w:r w:rsidR="007320D9">
        <w:rPr>
          <w:rFonts w:ascii="Times New Roman" w:hAnsi="Times New Roman"/>
          <w:sz w:val="24"/>
          <w:szCs w:val="24"/>
        </w:rPr>
        <w:t>with supply</w:t>
      </w:r>
      <w:r w:rsidR="00EB1D07">
        <w:rPr>
          <w:rFonts w:ascii="Times New Roman" w:hAnsi="Times New Roman"/>
          <w:sz w:val="24"/>
          <w:szCs w:val="24"/>
        </w:rPr>
        <w:t xml:space="preserve"> than </w:t>
      </w:r>
      <w:r w:rsidR="00780C07">
        <w:rPr>
          <w:rFonts w:ascii="Times New Roman" w:hAnsi="Times New Roman"/>
          <w:sz w:val="24"/>
          <w:szCs w:val="24"/>
        </w:rPr>
        <w:t xml:space="preserve">for </w:t>
      </w:r>
      <w:r w:rsidR="00EB1D07">
        <w:rPr>
          <w:rFonts w:ascii="Times New Roman" w:hAnsi="Times New Roman"/>
          <w:sz w:val="24"/>
          <w:szCs w:val="24"/>
        </w:rPr>
        <w:t>the very low income population</w:t>
      </w:r>
      <w:r w:rsidR="007320D9">
        <w:rPr>
          <w:rFonts w:ascii="Times New Roman" w:hAnsi="Times New Roman"/>
          <w:sz w:val="24"/>
          <w:szCs w:val="24"/>
        </w:rPr>
        <w:t xml:space="preserve"> demand</w:t>
      </w:r>
      <w:r w:rsidR="00EB1D07">
        <w:rPr>
          <w:rFonts w:ascii="Times New Roman" w:hAnsi="Times New Roman"/>
          <w:sz w:val="24"/>
          <w:szCs w:val="24"/>
        </w:rPr>
        <w:t>.</w:t>
      </w:r>
    </w:p>
    <w:p w:rsidR="0035796B" w:rsidRDefault="007320D9" w:rsidP="00D2442C">
      <w:pPr>
        <w:pStyle w:val="ListParagraph"/>
        <w:spacing w:line="480" w:lineRule="auto"/>
        <w:ind w:left="0" w:firstLine="720"/>
        <w:rPr>
          <w:rFonts w:ascii="Times New Roman" w:hAnsi="Times New Roman"/>
          <w:sz w:val="24"/>
          <w:szCs w:val="24"/>
        </w:rPr>
        <w:sectPr w:rsidR="0035796B" w:rsidSect="00E04B75">
          <w:pgSz w:w="12240" w:h="15840"/>
          <w:pgMar w:top="1440" w:right="1800" w:bottom="1440" w:left="1800" w:header="720" w:footer="720" w:gutter="0"/>
          <w:cols w:space="720"/>
          <w:docGrid w:linePitch="360"/>
        </w:sectPr>
      </w:pPr>
      <w:r>
        <w:rPr>
          <w:rFonts w:ascii="Times New Roman" w:hAnsi="Times New Roman"/>
          <w:sz w:val="24"/>
          <w:szCs w:val="24"/>
        </w:rPr>
        <w:t>One</w:t>
      </w:r>
      <w:r w:rsidR="00164246">
        <w:rPr>
          <w:rFonts w:ascii="Times New Roman" w:hAnsi="Times New Roman"/>
          <w:sz w:val="24"/>
          <w:szCs w:val="24"/>
        </w:rPr>
        <w:t xml:space="preserve"> </w:t>
      </w:r>
      <w:r w:rsidR="008549B0">
        <w:rPr>
          <w:rFonts w:ascii="Times New Roman" w:hAnsi="Times New Roman"/>
          <w:sz w:val="24"/>
          <w:szCs w:val="24"/>
        </w:rPr>
        <w:t>can</w:t>
      </w:r>
      <w:r w:rsidR="00164246">
        <w:rPr>
          <w:rFonts w:ascii="Times New Roman" w:hAnsi="Times New Roman"/>
          <w:sz w:val="24"/>
          <w:szCs w:val="24"/>
        </w:rPr>
        <w:t>not</w:t>
      </w:r>
      <w:r w:rsidR="003F1040">
        <w:rPr>
          <w:rFonts w:ascii="Times New Roman" w:hAnsi="Times New Roman"/>
          <w:sz w:val="24"/>
          <w:szCs w:val="24"/>
        </w:rPr>
        <w:t xml:space="preserve"> </w:t>
      </w:r>
      <w:r w:rsidR="00995477">
        <w:rPr>
          <w:rFonts w:ascii="Times New Roman" w:hAnsi="Times New Roman"/>
          <w:sz w:val="24"/>
          <w:szCs w:val="24"/>
        </w:rPr>
        <w:t>ignore the</w:t>
      </w:r>
      <w:r w:rsidR="003F1040">
        <w:rPr>
          <w:rFonts w:ascii="Times New Roman" w:hAnsi="Times New Roman"/>
          <w:sz w:val="24"/>
          <w:szCs w:val="24"/>
        </w:rPr>
        <w:t xml:space="preserve"> </w:t>
      </w:r>
      <w:r w:rsidR="008549B0">
        <w:rPr>
          <w:rFonts w:ascii="Times New Roman" w:hAnsi="Times New Roman"/>
          <w:sz w:val="24"/>
          <w:szCs w:val="24"/>
        </w:rPr>
        <w:t xml:space="preserve">problems of </w:t>
      </w:r>
      <w:r w:rsidR="003F1040">
        <w:rPr>
          <w:rFonts w:ascii="Times New Roman" w:hAnsi="Times New Roman"/>
          <w:sz w:val="24"/>
          <w:szCs w:val="24"/>
        </w:rPr>
        <w:t>existing living situation</w:t>
      </w:r>
      <w:r w:rsidR="008549B0">
        <w:rPr>
          <w:rFonts w:ascii="Times New Roman" w:hAnsi="Times New Roman"/>
          <w:sz w:val="24"/>
          <w:szCs w:val="24"/>
        </w:rPr>
        <w:t>s</w:t>
      </w:r>
      <w:r w:rsidR="00717FBF">
        <w:rPr>
          <w:rFonts w:ascii="Times New Roman" w:hAnsi="Times New Roman"/>
          <w:sz w:val="24"/>
          <w:szCs w:val="24"/>
        </w:rPr>
        <w:t xml:space="preserve"> </w:t>
      </w:r>
      <w:r w:rsidR="003F1040">
        <w:rPr>
          <w:rFonts w:ascii="Times New Roman" w:hAnsi="Times New Roman"/>
          <w:sz w:val="24"/>
          <w:szCs w:val="24"/>
        </w:rPr>
        <w:t>of</w:t>
      </w:r>
      <w:r w:rsidR="00717FBF">
        <w:rPr>
          <w:rFonts w:ascii="Times New Roman" w:hAnsi="Times New Roman"/>
          <w:sz w:val="24"/>
          <w:szCs w:val="24"/>
        </w:rPr>
        <w:t xml:space="preserve"> </w:t>
      </w:r>
      <w:r w:rsidR="003F1040">
        <w:rPr>
          <w:rFonts w:ascii="Times New Roman" w:hAnsi="Times New Roman"/>
          <w:sz w:val="24"/>
          <w:szCs w:val="24"/>
        </w:rPr>
        <w:t>lower income population</w:t>
      </w:r>
      <w:r w:rsidR="008549B0">
        <w:rPr>
          <w:rFonts w:ascii="Times New Roman" w:hAnsi="Times New Roman"/>
          <w:sz w:val="24"/>
          <w:szCs w:val="24"/>
        </w:rPr>
        <w:t>s</w:t>
      </w:r>
      <w:r w:rsidR="003F1040">
        <w:rPr>
          <w:rFonts w:ascii="Times New Roman" w:hAnsi="Times New Roman"/>
          <w:sz w:val="24"/>
          <w:szCs w:val="24"/>
        </w:rPr>
        <w:t xml:space="preserve"> in the city. </w:t>
      </w:r>
      <w:r w:rsidR="007602AD">
        <w:rPr>
          <w:rFonts w:ascii="Times New Roman" w:hAnsi="Times New Roman"/>
          <w:sz w:val="24"/>
          <w:szCs w:val="24"/>
        </w:rPr>
        <w:t>First</w:t>
      </w:r>
      <w:r w:rsidR="004B29C4">
        <w:rPr>
          <w:rFonts w:ascii="Times New Roman" w:hAnsi="Times New Roman"/>
          <w:sz w:val="24"/>
          <w:szCs w:val="24"/>
        </w:rPr>
        <w:t>ly</w:t>
      </w:r>
      <w:r w:rsidR="007602AD">
        <w:rPr>
          <w:rFonts w:ascii="Times New Roman" w:hAnsi="Times New Roman"/>
          <w:sz w:val="24"/>
          <w:szCs w:val="24"/>
        </w:rPr>
        <w:t>, the total amount of affordable housing units is limited</w:t>
      </w:r>
      <w:r w:rsidR="004B29C4">
        <w:rPr>
          <w:rFonts w:ascii="Times New Roman" w:hAnsi="Times New Roman"/>
          <w:sz w:val="24"/>
          <w:szCs w:val="24"/>
        </w:rPr>
        <w:t>, meaning that only a small percentage of the low income population has access to</w:t>
      </w:r>
      <w:r w:rsidR="00717FBF">
        <w:rPr>
          <w:rFonts w:ascii="Times New Roman" w:hAnsi="Times New Roman"/>
          <w:sz w:val="24"/>
          <w:szCs w:val="24"/>
        </w:rPr>
        <w:t xml:space="preserve"> affordable housing in the city</w:t>
      </w:r>
      <w:r w:rsidR="007602AD">
        <w:rPr>
          <w:rFonts w:ascii="Times New Roman" w:hAnsi="Times New Roman"/>
          <w:sz w:val="24"/>
          <w:szCs w:val="24"/>
        </w:rPr>
        <w:t>. Second</w:t>
      </w:r>
      <w:r w:rsidR="004B29C4">
        <w:rPr>
          <w:rFonts w:ascii="Times New Roman" w:hAnsi="Times New Roman"/>
          <w:sz w:val="24"/>
          <w:szCs w:val="24"/>
        </w:rPr>
        <w:t>ly</w:t>
      </w:r>
      <w:r w:rsidR="007602AD">
        <w:rPr>
          <w:rFonts w:ascii="Times New Roman" w:hAnsi="Times New Roman"/>
          <w:sz w:val="24"/>
          <w:szCs w:val="24"/>
        </w:rPr>
        <w:t xml:space="preserve">, to diminish the cost of affordable housing supply, affordable housing was mostly built where the land prices were relatively </w:t>
      </w:r>
      <w:r w:rsidR="00E77AE9">
        <w:rPr>
          <w:rFonts w:ascii="Times New Roman" w:hAnsi="Times New Roman"/>
          <w:sz w:val="24"/>
          <w:szCs w:val="24"/>
        </w:rPr>
        <w:t xml:space="preserve">cheap. </w:t>
      </w:r>
      <w:r w:rsidR="00164246">
        <w:rPr>
          <w:rFonts w:ascii="Times New Roman" w:hAnsi="Times New Roman"/>
          <w:sz w:val="24"/>
          <w:szCs w:val="24"/>
        </w:rPr>
        <w:t>Therefore</w:t>
      </w:r>
      <w:r w:rsidR="007602AD">
        <w:rPr>
          <w:rFonts w:ascii="Times New Roman" w:hAnsi="Times New Roman"/>
          <w:sz w:val="24"/>
          <w:szCs w:val="24"/>
        </w:rPr>
        <w:t>, the edge of the city or suburbs would be better place</w:t>
      </w:r>
      <w:r w:rsidR="004B29C4">
        <w:rPr>
          <w:rFonts w:ascii="Times New Roman" w:hAnsi="Times New Roman"/>
          <w:sz w:val="24"/>
          <w:szCs w:val="24"/>
        </w:rPr>
        <w:t>s</w:t>
      </w:r>
      <w:r w:rsidR="007602AD">
        <w:rPr>
          <w:rFonts w:ascii="Times New Roman" w:hAnsi="Times New Roman"/>
          <w:sz w:val="24"/>
          <w:szCs w:val="24"/>
        </w:rPr>
        <w:t xml:space="preserve"> for </w:t>
      </w:r>
      <w:r w:rsidR="00EB6DE6">
        <w:rPr>
          <w:rFonts w:ascii="Times New Roman" w:hAnsi="Times New Roman"/>
          <w:sz w:val="24"/>
          <w:szCs w:val="24"/>
        </w:rPr>
        <w:t>new</w:t>
      </w:r>
      <w:r w:rsidR="007602AD">
        <w:rPr>
          <w:rFonts w:ascii="Times New Roman" w:hAnsi="Times New Roman"/>
          <w:sz w:val="24"/>
          <w:szCs w:val="24"/>
        </w:rPr>
        <w:t xml:space="preserve"> construction. However, these lo</w:t>
      </w:r>
      <w:r w:rsidR="00E77AE9">
        <w:rPr>
          <w:rFonts w:ascii="Times New Roman" w:hAnsi="Times New Roman"/>
          <w:sz w:val="24"/>
          <w:szCs w:val="24"/>
        </w:rPr>
        <w:t>cations could</w:t>
      </w:r>
      <w:r w:rsidR="00717FBF">
        <w:rPr>
          <w:rFonts w:ascii="Times New Roman" w:hAnsi="Times New Roman"/>
          <w:sz w:val="24"/>
          <w:szCs w:val="24"/>
        </w:rPr>
        <w:t xml:space="preserve"> not</w:t>
      </w:r>
      <w:r w:rsidR="00E77AE9">
        <w:rPr>
          <w:rFonts w:ascii="Times New Roman" w:hAnsi="Times New Roman"/>
          <w:sz w:val="24"/>
          <w:szCs w:val="24"/>
        </w:rPr>
        <w:t xml:space="preserve"> </w:t>
      </w:r>
      <w:r w:rsidR="00B82BDC">
        <w:rPr>
          <w:rFonts w:ascii="Times New Roman" w:hAnsi="Times New Roman"/>
          <w:sz w:val="24"/>
          <w:szCs w:val="24"/>
        </w:rPr>
        <w:t>meet</w:t>
      </w:r>
      <w:r w:rsidR="00E77AE9">
        <w:rPr>
          <w:rFonts w:ascii="Times New Roman" w:hAnsi="Times New Roman"/>
          <w:sz w:val="24"/>
          <w:szCs w:val="24"/>
        </w:rPr>
        <w:t xml:space="preserve"> the lower income population need</w:t>
      </w:r>
      <w:r w:rsidR="004B29C4">
        <w:rPr>
          <w:rFonts w:ascii="Times New Roman" w:hAnsi="Times New Roman"/>
          <w:sz w:val="24"/>
          <w:szCs w:val="24"/>
        </w:rPr>
        <w:t>s</w:t>
      </w:r>
      <w:r w:rsidR="00E77AE9">
        <w:rPr>
          <w:rFonts w:ascii="Times New Roman" w:hAnsi="Times New Roman"/>
          <w:sz w:val="24"/>
          <w:szCs w:val="24"/>
        </w:rPr>
        <w:t>.</w:t>
      </w:r>
      <w:r w:rsidR="00E77AE9" w:rsidRPr="00E77AE9">
        <w:rPr>
          <w:rFonts w:ascii="Times New Roman" w:hAnsi="Times New Roman"/>
          <w:sz w:val="24"/>
          <w:szCs w:val="24"/>
        </w:rPr>
        <w:t xml:space="preserve"> </w:t>
      </w:r>
      <w:r w:rsidR="00E77AE9">
        <w:rPr>
          <w:rFonts w:ascii="Times New Roman" w:hAnsi="Times New Roman"/>
          <w:sz w:val="24"/>
          <w:szCs w:val="24"/>
        </w:rPr>
        <w:t xml:space="preserve">In that case, </w:t>
      </w:r>
      <w:r w:rsidR="004B29C4">
        <w:rPr>
          <w:rFonts w:ascii="Times New Roman" w:hAnsi="Times New Roman"/>
          <w:sz w:val="24"/>
          <w:szCs w:val="24"/>
        </w:rPr>
        <w:t xml:space="preserve">the question of </w:t>
      </w:r>
      <w:r w:rsidR="00E77AE9">
        <w:rPr>
          <w:rFonts w:ascii="Times New Roman" w:hAnsi="Times New Roman"/>
          <w:sz w:val="24"/>
          <w:szCs w:val="24"/>
        </w:rPr>
        <w:t xml:space="preserve">how to provide a reasonable </w:t>
      </w:r>
      <w:r w:rsidR="004B29C4">
        <w:rPr>
          <w:rFonts w:ascii="Times New Roman" w:hAnsi="Times New Roman"/>
          <w:sz w:val="24"/>
          <w:szCs w:val="24"/>
        </w:rPr>
        <w:t xml:space="preserve">distribution of affordable housing </w:t>
      </w:r>
      <w:r w:rsidR="00E77AE9">
        <w:rPr>
          <w:rFonts w:ascii="Times New Roman" w:hAnsi="Times New Roman"/>
          <w:sz w:val="24"/>
          <w:szCs w:val="24"/>
        </w:rPr>
        <w:t>and reduce the lower income populations</w:t>
      </w:r>
      <w:r w:rsidR="004B29C4">
        <w:rPr>
          <w:rFonts w:ascii="Times New Roman" w:hAnsi="Times New Roman"/>
          <w:sz w:val="24"/>
          <w:szCs w:val="24"/>
        </w:rPr>
        <w:t>’</w:t>
      </w:r>
      <w:r w:rsidR="00717FBF">
        <w:rPr>
          <w:rFonts w:ascii="Times New Roman" w:hAnsi="Times New Roman"/>
          <w:sz w:val="24"/>
          <w:szCs w:val="24"/>
        </w:rPr>
        <w:t xml:space="preserve"> </w:t>
      </w:r>
      <w:r w:rsidR="00E77AE9">
        <w:rPr>
          <w:rFonts w:ascii="Times New Roman" w:hAnsi="Times New Roman"/>
          <w:sz w:val="24"/>
          <w:szCs w:val="24"/>
        </w:rPr>
        <w:t xml:space="preserve">indirect costs becomes </w:t>
      </w:r>
      <w:r w:rsidR="004B29C4">
        <w:rPr>
          <w:rFonts w:ascii="Times New Roman" w:hAnsi="Times New Roman"/>
          <w:sz w:val="24"/>
          <w:szCs w:val="24"/>
        </w:rPr>
        <w:t>a focus for</w:t>
      </w:r>
      <w:r w:rsidR="00E77AE9">
        <w:rPr>
          <w:rFonts w:ascii="Times New Roman" w:hAnsi="Times New Roman"/>
          <w:sz w:val="24"/>
          <w:szCs w:val="24"/>
        </w:rPr>
        <w:t xml:space="preserve"> social concern</w:t>
      </w:r>
      <w:r w:rsidR="00B56DDC">
        <w:rPr>
          <w:rFonts w:ascii="Times New Roman" w:hAnsi="Times New Roman"/>
          <w:sz w:val="24"/>
          <w:szCs w:val="24"/>
        </w:rPr>
        <w:t xml:space="preserve">. The affordable housing problems of low income people are not their individual problems. It is related to all </w:t>
      </w:r>
      <w:r w:rsidR="004B29C4">
        <w:rPr>
          <w:rFonts w:ascii="Times New Roman" w:hAnsi="Times New Roman"/>
          <w:sz w:val="24"/>
          <w:szCs w:val="24"/>
        </w:rPr>
        <w:t>classes of</w:t>
      </w:r>
      <w:r w:rsidR="00B56DDC">
        <w:rPr>
          <w:rFonts w:ascii="Times New Roman" w:hAnsi="Times New Roman"/>
          <w:sz w:val="24"/>
          <w:szCs w:val="24"/>
        </w:rPr>
        <w:t xml:space="preserve"> society</w:t>
      </w:r>
      <w:r w:rsidR="004B29C4">
        <w:rPr>
          <w:rFonts w:ascii="Times New Roman" w:hAnsi="Times New Roman"/>
          <w:sz w:val="24"/>
          <w:szCs w:val="24"/>
        </w:rPr>
        <w:t xml:space="preserve"> </w:t>
      </w:r>
      <w:r w:rsidR="00B56DDC">
        <w:rPr>
          <w:rFonts w:ascii="Times New Roman" w:hAnsi="Times New Roman"/>
          <w:sz w:val="24"/>
          <w:szCs w:val="24"/>
        </w:rPr>
        <w:t xml:space="preserve">including </w:t>
      </w:r>
      <w:r w:rsidR="004B29C4">
        <w:rPr>
          <w:rFonts w:ascii="Times New Roman" w:hAnsi="Times New Roman"/>
          <w:sz w:val="24"/>
          <w:szCs w:val="24"/>
        </w:rPr>
        <w:t xml:space="preserve">those with </w:t>
      </w:r>
      <w:r w:rsidR="00B56DDC">
        <w:rPr>
          <w:rFonts w:ascii="Times New Roman" w:hAnsi="Times New Roman"/>
          <w:sz w:val="24"/>
          <w:szCs w:val="24"/>
        </w:rPr>
        <w:t>middle and high-income</w:t>
      </w:r>
      <w:r w:rsidR="004B29C4">
        <w:rPr>
          <w:rFonts w:ascii="Times New Roman" w:hAnsi="Times New Roman"/>
          <w:sz w:val="24"/>
          <w:szCs w:val="24"/>
        </w:rPr>
        <w:t>s</w:t>
      </w:r>
      <w:r w:rsidR="00B56DDC">
        <w:rPr>
          <w:rFonts w:ascii="Times New Roman" w:hAnsi="Times New Roman"/>
          <w:sz w:val="24"/>
          <w:szCs w:val="24"/>
        </w:rPr>
        <w:t xml:space="preserve">. The indirect cost of housing is usually ignored by </w:t>
      </w:r>
      <w:r w:rsidR="004B29C4">
        <w:rPr>
          <w:rFonts w:ascii="Times New Roman" w:hAnsi="Times New Roman"/>
          <w:sz w:val="24"/>
          <w:szCs w:val="24"/>
        </w:rPr>
        <w:t xml:space="preserve">housing </w:t>
      </w:r>
      <w:r w:rsidR="000305E2">
        <w:rPr>
          <w:rFonts w:ascii="Times New Roman" w:hAnsi="Times New Roman"/>
          <w:sz w:val="24"/>
          <w:szCs w:val="24"/>
        </w:rPr>
        <w:t xml:space="preserve">developers. </w:t>
      </w:r>
      <w:r w:rsidR="00626487">
        <w:rPr>
          <w:rFonts w:ascii="Times New Roman" w:hAnsi="Times New Roman"/>
          <w:sz w:val="24"/>
          <w:szCs w:val="24"/>
        </w:rPr>
        <w:t>This research provide</w:t>
      </w:r>
      <w:r w:rsidR="004B29C4">
        <w:rPr>
          <w:rFonts w:ascii="Times New Roman" w:hAnsi="Times New Roman"/>
          <w:sz w:val="24"/>
          <w:szCs w:val="24"/>
        </w:rPr>
        <w:t>s</w:t>
      </w:r>
      <w:r w:rsidR="00626487">
        <w:rPr>
          <w:rFonts w:ascii="Times New Roman" w:hAnsi="Times New Roman"/>
          <w:sz w:val="24"/>
          <w:szCs w:val="24"/>
        </w:rPr>
        <w:t xml:space="preserve"> tools th</w:t>
      </w:r>
      <w:r>
        <w:rPr>
          <w:rFonts w:ascii="Times New Roman" w:hAnsi="Times New Roman"/>
          <w:sz w:val="24"/>
          <w:szCs w:val="24"/>
        </w:rPr>
        <w:t>at can be used by the housing finance</w:t>
      </w:r>
      <w:r w:rsidR="00626487">
        <w:rPr>
          <w:rFonts w:ascii="Times New Roman" w:hAnsi="Times New Roman"/>
          <w:sz w:val="24"/>
          <w:szCs w:val="24"/>
        </w:rPr>
        <w:t xml:space="preserve"> corporations</w:t>
      </w:r>
      <w:r>
        <w:rPr>
          <w:rFonts w:ascii="Times New Roman" w:hAnsi="Times New Roman"/>
          <w:sz w:val="24"/>
          <w:szCs w:val="24"/>
        </w:rPr>
        <w:t xml:space="preserve"> to evaluate the </w:t>
      </w:r>
      <w:r w:rsidR="004B29C4">
        <w:rPr>
          <w:rFonts w:ascii="Times New Roman" w:hAnsi="Times New Roman"/>
          <w:sz w:val="24"/>
          <w:szCs w:val="24"/>
        </w:rPr>
        <w:t xml:space="preserve">locations of </w:t>
      </w:r>
      <w:r>
        <w:rPr>
          <w:rFonts w:ascii="Times New Roman" w:hAnsi="Times New Roman"/>
          <w:sz w:val="24"/>
          <w:szCs w:val="24"/>
        </w:rPr>
        <w:t>funded properties</w:t>
      </w:r>
      <w:r w:rsidR="00626487">
        <w:rPr>
          <w:rFonts w:ascii="Times New Roman" w:hAnsi="Times New Roman"/>
          <w:sz w:val="24"/>
          <w:szCs w:val="24"/>
        </w:rPr>
        <w:t xml:space="preserve"> as well as evaluating the suitability of new sites </w:t>
      </w:r>
      <w:r w:rsidR="004B29C4">
        <w:rPr>
          <w:rFonts w:ascii="Times New Roman" w:hAnsi="Times New Roman"/>
          <w:sz w:val="24"/>
          <w:szCs w:val="24"/>
        </w:rPr>
        <w:t xml:space="preserve">suggested </w:t>
      </w:r>
      <w:r w:rsidR="00626487">
        <w:rPr>
          <w:rFonts w:ascii="Times New Roman" w:hAnsi="Times New Roman"/>
          <w:sz w:val="24"/>
          <w:szCs w:val="24"/>
        </w:rPr>
        <w:t xml:space="preserve">by developers. </w:t>
      </w:r>
      <w:r w:rsidR="00EB1D07">
        <w:rPr>
          <w:rFonts w:ascii="Times New Roman" w:hAnsi="Times New Roman"/>
          <w:sz w:val="24"/>
          <w:szCs w:val="24"/>
        </w:rPr>
        <w:t xml:space="preserve"> The conflict analysis used in this paper shows clearly </w:t>
      </w:r>
      <w:r w:rsidR="00C175C2">
        <w:rPr>
          <w:rFonts w:ascii="Times New Roman" w:hAnsi="Times New Roman"/>
          <w:sz w:val="24"/>
          <w:szCs w:val="24"/>
        </w:rPr>
        <w:t xml:space="preserve">where </w:t>
      </w:r>
      <w:r w:rsidR="00EB1D07">
        <w:rPr>
          <w:rFonts w:ascii="Times New Roman" w:hAnsi="Times New Roman"/>
          <w:sz w:val="24"/>
          <w:szCs w:val="24"/>
        </w:rPr>
        <w:t xml:space="preserve">places have </w:t>
      </w:r>
      <w:r w:rsidR="00711E5F">
        <w:rPr>
          <w:rFonts w:ascii="Times New Roman" w:hAnsi="Times New Roman"/>
          <w:sz w:val="24"/>
          <w:szCs w:val="24"/>
        </w:rPr>
        <w:t xml:space="preserve">a </w:t>
      </w:r>
      <w:r w:rsidR="00EB1D07">
        <w:rPr>
          <w:rFonts w:ascii="Times New Roman" w:hAnsi="Times New Roman"/>
          <w:sz w:val="24"/>
          <w:szCs w:val="24"/>
        </w:rPr>
        <w:t xml:space="preserve">balance in the supply and demand, </w:t>
      </w:r>
      <w:r w:rsidR="00C175C2">
        <w:rPr>
          <w:rFonts w:ascii="Times New Roman" w:hAnsi="Times New Roman"/>
          <w:sz w:val="24"/>
          <w:szCs w:val="24"/>
        </w:rPr>
        <w:t xml:space="preserve">and </w:t>
      </w:r>
      <w:r w:rsidR="00EB1D07">
        <w:rPr>
          <w:rFonts w:ascii="Times New Roman" w:hAnsi="Times New Roman"/>
          <w:sz w:val="24"/>
          <w:szCs w:val="24"/>
        </w:rPr>
        <w:t>places that</w:t>
      </w:r>
      <w:r w:rsidR="00C175C2">
        <w:rPr>
          <w:rFonts w:ascii="Times New Roman" w:hAnsi="Times New Roman"/>
          <w:sz w:val="24"/>
          <w:szCs w:val="24"/>
        </w:rPr>
        <w:t xml:space="preserve"> </w:t>
      </w:r>
      <w:r w:rsidR="00EB1D07">
        <w:rPr>
          <w:rFonts w:ascii="Times New Roman" w:hAnsi="Times New Roman"/>
          <w:sz w:val="24"/>
          <w:szCs w:val="24"/>
        </w:rPr>
        <w:t>need more affordable housing units</w:t>
      </w:r>
      <w:r w:rsidR="00C175C2">
        <w:rPr>
          <w:rFonts w:ascii="Times New Roman" w:hAnsi="Times New Roman"/>
          <w:sz w:val="24"/>
          <w:szCs w:val="24"/>
        </w:rPr>
        <w:t>. It also shows</w:t>
      </w:r>
      <w:r w:rsidR="00EB1D07">
        <w:rPr>
          <w:rFonts w:ascii="Times New Roman" w:hAnsi="Times New Roman"/>
          <w:sz w:val="24"/>
          <w:szCs w:val="24"/>
        </w:rPr>
        <w:t xml:space="preserve"> places that </w:t>
      </w:r>
      <w:r w:rsidR="00C175C2">
        <w:rPr>
          <w:rFonts w:ascii="Times New Roman" w:hAnsi="Times New Roman"/>
          <w:sz w:val="24"/>
          <w:szCs w:val="24"/>
        </w:rPr>
        <w:t xml:space="preserve">have an </w:t>
      </w:r>
      <w:r w:rsidR="00EB1D07">
        <w:rPr>
          <w:rFonts w:ascii="Times New Roman" w:hAnsi="Times New Roman"/>
          <w:sz w:val="24"/>
          <w:szCs w:val="24"/>
        </w:rPr>
        <w:t xml:space="preserve">oversupply of units and </w:t>
      </w:r>
      <w:r w:rsidR="00C175C2">
        <w:rPr>
          <w:rFonts w:ascii="Times New Roman" w:hAnsi="Times New Roman"/>
          <w:sz w:val="24"/>
          <w:szCs w:val="24"/>
        </w:rPr>
        <w:t xml:space="preserve">that </w:t>
      </w:r>
      <w:r w:rsidR="00EB1D07">
        <w:rPr>
          <w:rFonts w:ascii="Times New Roman" w:hAnsi="Times New Roman"/>
          <w:sz w:val="24"/>
          <w:szCs w:val="24"/>
        </w:rPr>
        <w:t xml:space="preserve">may need other solutions </w:t>
      </w:r>
      <w:r w:rsidR="00C175C2">
        <w:rPr>
          <w:rFonts w:ascii="Times New Roman" w:hAnsi="Times New Roman"/>
          <w:sz w:val="24"/>
          <w:szCs w:val="24"/>
        </w:rPr>
        <w:t>for improving</w:t>
      </w:r>
      <w:r w:rsidR="00EB1D07">
        <w:rPr>
          <w:rFonts w:ascii="Times New Roman" w:hAnsi="Times New Roman"/>
          <w:sz w:val="24"/>
          <w:szCs w:val="24"/>
        </w:rPr>
        <w:t xml:space="preserve"> employment opportunities </w:t>
      </w:r>
      <w:r w:rsidR="00C175C2">
        <w:rPr>
          <w:rFonts w:ascii="Times New Roman" w:hAnsi="Times New Roman"/>
          <w:sz w:val="24"/>
          <w:szCs w:val="24"/>
        </w:rPr>
        <w:t xml:space="preserve">that could be implemented </w:t>
      </w:r>
      <w:r w:rsidR="00EB1D07">
        <w:rPr>
          <w:rFonts w:ascii="Times New Roman" w:hAnsi="Times New Roman"/>
          <w:sz w:val="24"/>
          <w:szCs w:val="24"/>
        </w:rPr>
        <w:t>by local governments.  In addition to the tools for planner</w:t>
      </w:r>
      <w:r w:rsidR="00EB6DE6">
        <w:rPr>
          <w:rFonts w:ascii="Times New Roman" w:hAnsi="Times New Roman"/>
          <w:sz w:val="24"/>
          <w:szCs w:val="24"/>
        </w:rPr>
        <w:t>s</w:t>
      </w:r>
      <w:r w:rsidR="00EB1D07">
        <w:rPr>
          <w:rFonts w:ascii="Times New Roman" w:hAnsi="Times New Roman"/>
          <w:sz w:val="24"/>
          <w:szCs w:val="24"/>
        </w:rPr>
        <w:t xml:space="preserve"> and housing finance agencies, t</w:t>
      </w:r>
      <w:r w:rsidR="000305E2">
        <w:rPr>
          <w:rFonts w:ascii="Times New Roman" w:hAnsi="Times New Roman"/>
          <w:sz w:val="24"/>
          <w:szCs w:val="24"/>
        </w:rPr>
        <w:t>he</w:t>
      </w:r>
      <w:r w:rsidR="00B56DDC">
        <w:rPr>
          <w:rFonts w:ascii="Times New Roman" w:hAnsi="Times New Roman"/>
          <w:sz w:val="24"/>
          <w:szCs w:val="24"/>
        </w:rPr>
        <w:t xml:space="preserve"> analysis </w:t>
      </w:r>
      <w:r w:rsidR="00292340">
        <w:rPr>
          <w:rFonts w:ascii="Times New Roman" w:hAnsi="Times New Roman"/>
          <w:sz w:val="24"/>
          <w:szCs w:val="24"/>
        </w:rPr>
        <w:t>of</w:t>
      </w:r>
      <w:r w:rsidR="00B56DDC">
        <w:rPr>
          <w:rFonts w:ascii="Times New Roman" w:hAnsi="Times New Roman"/>
          <w:sz w:val="24"/>
          <w:szCs w:val="24"/>
        </w:rPr>
        <w:t xml:space="preserve"> this study </w:t>
      </w:r>
      <w:r w:rsidR="00292340">
        <w:rPr>
          <w:rFonts w:ascii="Times New Roman" w:hAnsi="Times New Roman"/>
          <w:sz w:val="24"/>
          <w:szCs w:val="24"/>
        </w:rPr>
        <w:t xml:space="preserve">raises </w:t>
      </w:r>
      <w:r w:rsidR="00B56DDC">
        <w:rPr>
          <w:rFonts w:ascii="Times New Roman" w:hAnsi="Times New Roman"/>
          <w:sz w:val="24"/>
          <w:szCs w:val="24"/>
        </w:rPr>
        <w:t xml:space="preserve">further </w:t>
      </w:r>
      <w:r w:rsidR="00112DD1">
        <w:rPr>
          <w:rFonts w:ascii="Times New Roman" w:hAnsi="Times New Roman"/>
          <w:sz w:val="24"/>
          <w:szCs w:val="24"/>
        </w:rPr>
        <w:t>questions</w:t>
      </w:r>
      <w:r w:rsidR="00626487">
        <w:rPr>
          <w:rFonts w:ascii="Times New Roman" w:hAnsi="Times New Roman"/>
          <w:sz w:val="24"/>
          <w:szCs w:val="24"/>
        </w:rPr>
        <w:t xml:space="preserve"> and discussions</w:t>
      </w:r>
      <w:r w:rsidR="00112DD1">
        <w:rPr>
          <w:rFonts w:ascii="Times New Roman" w:hAnsi="Times New Roman"/>
          <w:sz w:val="24"/>
          <w:szCs w:val="24"/>
        </w:rPr>
        <w:t xml:space="preserve"> to be solved in future research. These </w:t>
      </w:r>
      <w:r w:rsidR="00112DD1">
        <w:rPr>
          <w:rFonts w:ascii="Times New Roman" w:hAnsi="Times New Roman"/>
          <w:sz w:val="24"/>
          <w:szCs w:val="24"/>
        </w:rPr>
        <w:lastRenderedPageBreak/>
        <w:t>questions include studying the spatial mismatch for affordable rental housing and more comprehensive supply demand analysis.</w:t>
      </w:r>
    </w:p>
    <w:p w:rsidR="0035796B" w:rsidRPr="0035796B" w:rsidRDefault="000C2462" w:rsidP="00E14EC2">
      <w:pPr>
        <w:spacing w:line="480" w:lineRule="auto"/>
        <w:rPr>
          <w:rFonts w:ascii="Times New Roman" w:hAnsi="Times New Roman"/>
          <w:b/>
          <w:sz w:val="24"/>
          <w:szCs w:val="24"/>
        </w:rPr>
      </w:pPr>
      <w:r>
        <w:rPr>
          <w:rFonts w:ascii="Times New Roman" w:hAnsi="Times New Roman"/>
          <w:b/>
          <w:sz w:val="24"/>
          <w:szCs w:val="24"/>
        </w:rPr>
        <w:lastRenderedPageBreak/>
        <w:t xml:space="preserve">APPENDIX A: </w:t>
      </w:r>
      <w:r w:rsidR="0035796B" w:rsidRPr="0035796B">
        <w:rPr>
          <w:rFonts w:ascii="Times New Roman" w:hAnsi="Times New Roman"/>
          <w:b/>
          <w:sz w:val="24"/>
          <w:szCs w:val="24"/>
        </w:rPr>
        <w:t>FIGURES</w:t>
      </w:r>
    </w:p>
    <w:p w:rsidR="0035796B" w:rsidRPr="0035796B" w:rsidRDefault="00BD5CC5" w:rsidP="00F93CBC">
      <w:pPr>
        <w:spacing w:after="0"/>
        <w:jc w:val="center"/>
        <w:rPr>
          <w:rFonts w:ascii="Times New Roman" w:hAnsi="Times New Roman"/>
          <w:sz w:val="24"/>
          <w:szCs w:val="24"/>
        </w:rPr>
      </w:pPr>
      <w:r>
        <w:rPr>
          <w:rFonts w:ascii="Times New Roman" w:hAnsi="Times New Roman"/>
          <w:noProof/>
          <w:sz w:val="24"/>
          <w:szCs w:val="24"/>
        </w:rPr>
        <w:drawing>
          <wp:inline distT="0" distB="0" distL="0" distR="0">
            <wp:extent cx="5124450" cy="3067050"/>
            <wp:effectExtent l="19050" t="0" r="0" b="0"/>
            <wp:docPr id="1" name="Picture 1" descr="network distance bu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 distance buffer"/>
                    <pic:cNvPicPr>
                      <a:picLocks noChangeAspect="1" noChangeArrowheads="1"/>
                    </pic:cNvPicPr>
                  </pic:nvPicPr>
                  <pic:blipFill>
                    <a:blip r:embed="rId6" cstate="print"/>
                    <a:srcRect l="7538" t="8881" r="2315" b="18918"/>
                    <a:stretch>
                      <a:fillRect/>
                    </a:stretch>
                  </pic:blipFill>
                  <pic:spPr bwMode="auto">
                    <a:xfrm>
                      <a:off x="0" y="0"/>
                      <a:ext cx="5124450" cy="3067050"/>
                    </a:xfrm>
                    <a:prstGeom prst="rect">
                      <a:avLst/>
                    </a:prstGeom>
                    <a:noFill/>
                    <a:ln w="9525">
                      <a:noFill/>
                      <a:miter lim="800000"/>
                      <a:headEnd/>
                      <a:tailEnd/>
                    </a:ln>
                  </pic:spPr>
                </pic:pic>
              </a:graphicData>
            </a:graphic>
          </wp:inline>
        </w:drawing>
      </w:r>
    </w:p>
    <w:p w:rsidR="0035796B" w:rsidRDefault="0035796B" w:rsidP="00F93CBC">
      <w:pPr>
        <w:spacing w:after="0" w:line="480" w:lineRule="auto"/>
        <w:rPr>
          <w:rFonts w:ascii="Times New Roman" w:hAnsi="Times New Roman"/>
          <w:sz w:val="24"/>
          <w:szCs w:val="24"/>
        </w:rPr>
      </w:pPr>
      <w:r w:rsidRPr="0035796B">
        <w:rPr>
          <w:rFonts w:ascii="Times New Roman" w:hAnsi="Times New Roman"/>
          <w:sz w:val="24"/>
          <w:szCs w:val="24"/>
        </w:rPr>
        <w:t>Figure4-1 Network</w:t>
      </w:r>
      <w:r w:rsidR="00F93CBC" w:rsidRPr="0035796B">
        <w:rPr>
          <w:rFonts w:ascii="Times New Roman" w:hAnsi="Times New Roman"/>
          <w:sz w:val="24"/>
          <w:szCs w:val="24"/>
        </w:rPr>
        <w:t xml:space="preserve"> distance buffer on random points</w:t>
      </w:r>
    </w:p>
    <w:p w:rsidR="00D1466A" w:rsidRDefault="00D1466A" w:rsidP="00F93CBC">
      <w:pPr>
        <w:spacing w:after="0" w:line="480" w:lineRule="auto"/>
        <w:rPr>
          <w:rFonts w:ascii="Times New Roman" w:hAnsi="Times New Roman"/>
          <w:sz w:val="24"/>
          <w:szCs w:val="24"/>
        </w:rPr>
      </w:pPr>
    </w:p>
    <w:p w:rsidR="0035796B" w:rsidRDefault="00BD5CC5" w:rsidP="00F93CBC">
      <w:pPr>
        <w:spacing w:after="0"/>
        <w:jc w:val="center"/>
        <w:rPr>
          <w:rFonts w:ascii="Times New Roman" w:hAnsi="Times New Roman"/>
          <w:sz w:val="24"/>
          <w:szCs w:val="24"/>
        </w:rPr>
      </w:pPr>
      <w:r>
        <w:rPr>
          <w:rFonts w:ascii="Times New Roman" w:hAnsi="Times New Roman"/>
          <w:noProof/>
          <w:sz w:val="24"/>
          <w:szCs w:val="24"/>
        </w:rPr>
        <w:drawing>
          <wp:inline distT="0" distB="0" distL="0" distR="0">
            <wp:extent cx="5343525" cy="3133725"/>
            <wp:effectExtent l="19050" t="0" r="9525" b="0"/>
            <wp:docPr id="2" name="Picture 2" descr="network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work distance"/>
                    <pic:cNvPicPr>
                      <a:picLocks noChangeAspect="1" noChangeArrowheads="1"/>
                    </pic:cNvPicPr>
                  </pic:nvPicPr>
                  <pic:blipFill>
                    <a:blip r:embed="rId7" cstate="print"/>
                    <a:srcRect l="24217" t="7524" r="11018" b="41890"/>
                    <a:stretch>
                      <a:fillRect/>
                    </a:stretch>
                  </pic:blipFill>
                  <pic:spPr bwMode="auto">
                    <a:xfrm>
                      <a:off x="0" y="0"/>
                      <a:ext cx="5343525" cy="3133725"/>
                    </a:xfrm>
                    <a:prstGeom prst="rect">
                      <a:avLst/>
                    </a:prstGeom>
                    <a:noFill/>
                    <a:ln w="9525">
                      <a:noFill/>
                      <a:miter lim="800000"/>
                      <a:headEnd/>
                      <a:tailEnd/>
                    </a:ln>
                  </pic:spPr>
                </pic:pic>
              </a:graphicData>
            </a:graphic>
          </wp:inline>
        </w:drawing>
      </w:r>
    </w:p>
    <w:p w:rsidR="0035796B" w:rsidRDefault="0035796B" w:rsidP="00F93CBC">
      <w:pPr>
        <w:spacing w:after="0"/>
        <w:rPr>
          <w:rFonts w:ascii="Times New Roman" w:hAnsi="Times New Roman"/>
          <w:sz w:val="24"/>
          <w:szCs w:val="24"/>
        </w:rPr>
      </w:pPr>
      <w:r w:rsidRPr="0035796B">
        <w:rPr>
          <w:rFonts w:ascii="Times New Roman" w:hAnsi="Times New Roman"/>
          <w:sz w:val="24"/>
          <w:szCs w:val="24"/>
        </w:rPr>
        <w:t>Figure4-</w:t>
      </w:r>
      <w:r>
        <w:rPr>
          <w:rFonts w:ascii="Times New Roman" w:hAnsi="Times New Roman"/>
          <w:sz w:val="24"/>
          <w:szCs w:val="24"/>
        </w:rPr>
        <w:t xml:space="preserve">2 </w:t>
      </w:r>
      <w:r w:rsidR="00F93CBC">
        <w:rPr>
          <w:rFonts w:ascii="Times New Roman" w:hAnsi="Times New Roman"/>
          <w:sz w:val="24"/>
          <w:szCs w:val="24"/>
        </w:rPr>
        <w:t xml:space="preserve">Capture the features in each </w:t>
      </w:r>
      <w:r w:rsidR="00F93CBC" w:rsidRPr="0035796B">
        <w:rPr>
          <w:rFonts w:ascii="Times New Roman" w:hAnsi="Times New Roman"/>
          <w:sz w:val="24"/>
          <w:szCs w:val="24"/>
        </w:rPr>
        <w:t xml:space="preserve">network </w:t>
      </w:r>
      <w:r w:rsidR="00F93CBC">
        <w:rPr>
          <w:rFonts w:ascii="Times New Roman" w:hAnsi="Times New Roman"/>
          <w:sz w:val="24"/>
          <w:szCs w:val="24"/>
        </w:rPr>
        <w:t>distance buffer area</w:t>
      </w:r>
    </w:p>
    <w:p w:rsidR="0035796B" w:rsidRDefault="0035796B" w:rsidP="00F93CBC">
      <w:pPr>
        <w:spacing w:after="0"/>
        <w:rPr>
          <w:rFonts w:ascii="Times New Roman" w:hAnsi="Times New Roman"/>
          <w:sz w:val="24"/>
          <w:szCs w:val="24"/>
        </w:rPr>
      </w:pPr>
    </w:p>
    <w:p w:rsidR="0035796B" w:rsidRDefault="00BD5CC5" w:rsidP="00F93CBC">
      <w:pPr>
        <w:spacing w:after="0"/>
        <w:rPr>
          <w:rFonts w:ascii="Times New Roman" w:hAnsi="Times New Roman"/>
          <w:sz w:val="24"/>
          <w:szCs w:val="24"/>
        </w:rPr>
      </w:pPr>
      <w:r>
        <w:rPr>
          <w:rFonts w:ascii="Times New Roman" w:hAnsi="Times New Roman"/>
          <w:noProof/>
          <w:sz w:val="24"/>
          <w:szCs w:val="24"/>
        </w:rPr>
        <w:lastRenderedPageBreak/>
        <w:drawing>
          <wp:inline distT="0" distB="0" distL="0" distR="0">
            <wp:extent cx="4791075" cy="2724150"/>
            <wp:effectExtent l="19050" t="0" r="9525" b="0"/>
            <wp:docPr id="3" name="Picture 3"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3"/>
                    <pic:cNvPicPr>
                      <a:picLocks noChangeAspect="1" noChangeArrowheads="1"/>
                    </pic:cNvPicPr>
                  </pic:nvPicPr>
                  <pic:blipFill>
                    <a:blip r:embed="rId8" cstate="print"/>
                    <a:srcRect l="10280" t="15318" r="23056" b="34109"/>
                    <a:stretch>
                      <a:fillRect/>
                    </a:stretch>
                  </pic:blipFill>
                  <pic:spPr bwMode="auto">
                    <a:xfrm>
                      <a:off x="0" y="0"/>
                      <a:ext cx="4791075" cy="2724150"/>
                    </a:xfrm>
                    <a:prstGeom prst="rect">
                      <a:avLst/>
                    </a:prstGeom>
                    <a:noFill/>
                    <a:ln w="9525">
                      <a:noFill/>
                      <a:miter lim="800000"/>
                      <a:headEnd/>
                      <a:tailEnd/>
                    </a:ln>
                  </pic:spPr>
                </pic:pic>
              </a:graphicData>
            </a:graphic>
          </wp:inline>
        </w:drawing>
      </w:r>
    </w:p>
    <w:p w:rsidR="00C15A82" w:rsidRDefault="00D1466A" w:rsidP="00F93CBC">
      <w:pPr>
        <w:spacing w:after="0" w:line="480" w:lineRule="auto"/>
        <w:rPr>
          <w:rFonts w:ascii="Times New Roman" w:hAnsi="Times New Roman"/>
          <w:sz w:val="24"/>
          <w:szCs w:val="24"/>
        </w:rPr>
      </w:pPr>
      <w:r w:rsidRPr="00D1466A">
        <w:rPr>
          <w:rFonts w:ascii="Times New Roman" w:hAnsi="Times New Roman"/>
          <w:sz w:val="24"/>
          <w:szCs w:val="24"/>
        </w:rPr>
        <w:t>Figure4-</w:t>
      </w:r>
      <w:r>
        <w:rPr>
          <w:rFonts w:ascii="Times New Roman" w:hAnsi="Times New Roman"/>
          <w:sz w:val="24"/>
          <w:szCs w:val="24"/>
        </w:rPr>
        <w:t>3</w:t>
      </w:r>
      <w:r w:rsidRPr="00D1466A">
        <w:rPr>
          <w:rFonts w:ascii="Times New Roman" w:hAnsi="Times New Roman"/>
          <w:sz w:val="24"/>
          <w:szCs w:val="24"/>
        </w:rPr>
        <w:t xml:space="preserve"> </w:t>
      </w:r>
      <w:r w:rsidR="00731305">
        <w:rPr>
          <w:rFonts w:ascii="Times New Roman" w:hAnsi="Times New Roman"/>
          <w:sz w:val="24"/>
          <w:szCs w:val="24"/>
        </w:rPr>
        <w:t xml:space="preserve">Sketch </w:t>
      </w:r>
      <w:r w:rsidR="00F93CBC">
        <w:rPr>
          <w:rFonts w:ascii="Times New Roman" w:hAnsi="Times New Roman"/>
          <w:sz w:val="24"/>
          <w:szCs w:val="24"/>
        </w:rPr>
        <w:t>m</w:t>
      </w:r>
      <w:r w:rsidR="00731305">
        <w:rPr>
          <w:rFonts w:ascii="Times New Roman" w:hAnsi="Times New Roman"/>
          <w:sz w:val="24"/>
          <w:szCs w:val="24"/>
        </w:rPr>
        <w:t>ap for the relation</w:t>
      </w:r>
      <w:r w:rsidR="00AD624F">
        <w:rPr>
          <w:rFonts w:ascii="Times New Roman" w:hAnsi="Times New Roman"/>
          <w:sz w:val="24"/>
          <w:szCs w:val="24"/>
        </w:rPr>
        <w:t>ship</w:t>
      </w:r>
      <w:r w:rsidR="00731305">
        <w:rPr>
          <w:rFonts w:ascii="Times New Roman" w:hAnsi="Times New Roman"/>
          <w:sz w:val="24"/>
          <w:szCs w:val="24"/>
        </w:rPr>
        <w:t xml:space="preserve"> of supply and demand of affordable housing</w:t>
      </w:r>
    </w:p>
    <w:p w:rsidR="00F93CBC" w:rsidRDefault="00F93CBC" w:rsidP="00F93CBC">
      <w:pPr>
        <w:spacing w:after="0" w:line="480" w:lineRule="auto"/>
        <w:rPr>
          <w:rFonts w:ascii="Times New Roman" w:hAnsi="Times New Roman"/>
          <w:sz w:val="24"/>
          <w:szCs w:val="24"/>
        </w:rPr>
      </w:pPr>
    </w:p>
    <w:p w:rsidR="00C15A82" w:rsidRDefault="00BD5CC5" w:rsidP="00F93CBC">
      <w:pPr>
        <w:spacing w:after="0"/>
      </w:pPr>
      <w:r>
        <w:rPr>
          <w:noProof/>
        </w:rPr>
        <w:drawing>
          <wp:inline distT="0" distB="0" distL="0" distR="0">
            <wp:extent cx="5438775" cy="4124325"/>
            <wp:effectExtent l="19050" t="0" r="9525" b="0"/>
            <wp:docPr id="4" name="Picture 4"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7"/>
                    <pic:cNvPicPr>
                      <a:picLocks noChangeAspect="1" noChangeArrowheads="1"/>
                    </pic:cNvPicPr>
                  </pic:nvPicPr>
                  <pic:blipFill>
                    <a:blip r:embed="rId9" cstate="print"/>
                    <a:srcRect l="5846" t="6627" r="7570" b="6056"/>
                    <a:stretch>
                      <a:fillRect/>
                    </a:stretch>
                  </pic:blipFill>
                  <pic:spPr bwMode="auto">
                    <a:xfrm>
                      <a:off x="0" y="0"/>
                      <a:ext cx="5438775" cy="4124325"/>
                    </a:xfrm>
                    <a:prstGeom prst="rect">
                      <a:avLst/>
                    </a:prstGeom>
                    <a:noFill/>
                    <a:ln w="9525">
                      <a:noFill/>
                      <a:miter lim="800000"/>
                      <a:headEnd/>
                      <a:tailEnd/>
                    </a:ln>
                  </pic:spPr>
                </pic:pic>
              </a:graphicData>
            </a:graphic>
          </wp:inline>
        </w:drawing>
      </w:r>
      <w:r w:rsidR="00C15A82" w:rsidRPr="00C15A82">
        <w:t xml:space="preserve"> </w:t>
      </w:r>
    </w:p>
    <w:p w:rsidR="00F93CBC" w:rsidRDefault="00F93CBC" w:rsidP="00F93CBC">
      <w:pPr>
        <w:spacing w:after="0"/>
        <w:rPr>
          <w:rFonts w:ascii="Times New Roman" w:hAnsi="Times New Roman"/>
          <w:sz w:val="24"/>
          <w:szCs w:val="24"/>
        </w:rPr>
      </w:pPr>
      <w:r>
        <w:rPr>
          <w:rFonts w:ascii="Times New Roman" w:hAnsi="Times New Roman"/>
          <w:sz w:val="24"/>
          <w:szCs w:val="24"/>
        </w:rPr>
        <w:t>Figure5-1 Z-score maps for four types of affordable housing supply</w:t>
      </w:r>
    </w:p>
    <w:p w:rsidR="00F93CBC" w:rsidRDefault="00BD5CC5" w:rsidP="00F93CBC">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857750" cy="3695700"/>
            <wp:effectExtent l="19050" t="0" r="0" b="0"/>
            <wp:docPr id="5" name="Picture 5"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1"/>
                    <pic:cNvPicPr>
                      <a:picLocks noChangeAspect="1" noChangeArrowheads="1"/>
                    </pic:cNvPicPr>
                  </pic:nvPicPr>
                  <pic:blipFill>
                    <a:blip r:embed="rId10" cstate="print"/>
                    <a:srcRect/>
                    <a:stretch>
                      <a:fillRect/>
                    </a:stretch>
                  </pic:blipFill>
                  <pic:spPr bwMode="auto">
                    <a:xfrm>
                      <a:off x="0" y="0"/>
                      <a:ext cx="4857750" cy="3695700"/>
                    </a:xfrm>
                    <a:prstGeom prst="rect">
                      <a:avLst/>
                    </a:prstGeom>
                    <a:noFill/>
                    <a:ln w="9525">
                      <a:noFill/>
                      <a:miter lim="800000"/>
                      <a:headEnd/>
                      <a:tailEnd/>
                    </a:ln>
                  </pic:spPr>
                </pic:pic>
              </a:graphicData>
            </a:graphic>
          </wp:inline>
        </w:drawing>
      </w:r>
    </w:p>
    <w:p w:rsidR="00F93CBC" w:rsidRDefault="00F93CBC" w:rsidP="009435D2">
      <w:pPr>
        <w:spacing w:after="0" w:line="240" w:lineRule="atLeast"/>
        <w:rPr>
          <w:rFonts w:ascii="Times New Roman" w:hAnsi="Times New Roman"/>
          <w:sz w:val="24"/>
          <w:szCs w:val="24"/>
        </w:rPr>
      </w:pPr>
      <w:r>
        <w:rPr>
          <w:rFonts w:ascii="Times New Roman" w:hAnsi="Times New Roman"/>
          <w:sz w:val="24"/>
          <w:szCs w:val="24"/>
        </w:rPr>
        <w:t>Figure 5-</w:t>
      </w:r>
      <w:r w:rsidR="009435D2">
        <w:rPr>
          <w:rFonts w:ascii="Times New Roman" w:hAnsi="Times New Roman"/>
          <w:sz w:val="24"/>
          <w:szCs w:val="24"/>
        </w:rPr>
        <w:t>2 Mismatch between multi-family housing units and affordable housing need for VLI and LI population</w:t>
      </w:r>
    </w:p>
    <w:p w:rsidR="009435D2" w:rsidRDefault="009435D2" w:rsidP="009435D2">
      <w:pPr>
        <w:spacing w:after="0" w:line="240" w:lineRule="atLeast"/>
        <w:rPr>
          <w:rFonts w:ascii="Times New Roman" w:hAnsi="Times New Roman"/>
          <w:sz w:val="24"/>
          <w:szCs w:val="24"/>
        </w:rPr>
      </w:pPr>
    </w:p>
    <w:p w:rsidR="00F93CBC" w:rsidRDefault="00BD5CC5" w:rsidP="004735BE">
      <w:pPr>
        <w:spacing w:after="0" w:line="240" w:lineRule="auto"/>
      </w:pPr>
      <w:r>
        <w:rPr>
          <w:rFonts w:ascii="Times New Roman" w:hAnsi="Times New Roman"/>
          <w:noProof/>
          <w:sz w:val="24"/>
          <w:szCs w:val="24"/>
        </w:rPr>
        <w:drawing>
          <wp:inline distT="0" distB="0" distL="0" distR="0">
            <wp:extent cx="4848225" cy="3590925"/>
            <wp:effectExtent l="19050" t="0" r="9525" b="0"/>
            <wp:docPr id="6" name="Picture 6"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2"/>
                    <pic:cNvPicPr>
                      <a:picLocks noChangeAspect="1" noChangeArrowheads="1"/>
                    </pic:cNvPicPr>
                  </pic:nvPicPr>
                  <pic:blipFill>
                    <a:blip r:embed="rId11" cstate="print"/>
                    <a:srcRect/>
                    <a:stretch>
                      <a:fillRect/>
                    </a:stretch>
                  </pic:blipFill>
                  <pic:spPr bwMode="auto">
                    <a:xfrm>
                      <a:off x="0" y="0"/>
                      <a:ext cx="4848225" cy="3590925"/>
                    </a:xfrm>
                    <a:prstGeom prst="rect">
                      <a:avLst/>
                    </a:prstGeom>
                    <a:noFill/>
                    <a:ln w="9525">
                      <a:noFill/>
                      <a:miter lim="800000"/>
                      <a:headEnd/>
                      <a:tailEnd/>
                    </a:ln>
                  </pic:spPr>
                </pic:pic>
              </a:graphicData>
            </a:graphic>
          </wp:inline>
        </w:drawing>
      </w:r>
      <w:r w:rsidR="00F93CBC" w:rsidRPr="00F93CBC">
        <w:t xml:space="preserve"> </w:t>
      </w:r>
    </w:p>
    <w:p w:rsidR="00F93CBC" w:rsidRDefault="00F93CBC" w:rsidP="004735BE">
      <w:pPr>
        <w:spacing w:after="0" w:line="240" w:lineRule="auto"/>
        <w:rPr>
          <w:rFonts w:ascii="Times New Roman" w:hAnsi="Times New Roman"/>
          <w:sz w:val="24"/>
          <w:szCs w:val="24"/>
        </w:rPr>
      </w:pPr>
      <w:r w:rsidRPr="00F93CBC">
        <w:rPr>
          <w:rFonts w:ascii="Times New Roman" w:hAnsi="Times New Roman"/>
          <w:sz w:val="24"/>
          <w:szCs w:val="24"/>
        </w:rPr>
        <w:t>Figure 5-</w:t>
      </w:r>
      <w:r>
        <w:rPr>
          <w:rFonts w:ascii="Times New Roman" w:hAnsi="Times New Roman"/>
          <w:sz w:val="24"/>
          <w:szCs w:val="24"/>
        </w:rPr>
        <w:t>3</w:t>
      </w:r>
      <w:r w:rsidR="009435D2" w:rsidRPr="009435D2">
        <w:t xml:space="preserve"> </w:t>
      </w:r>
      <w:r w:rsidR="009435D2" w:rsidRPr="009435D2">
        <w:rPr>
          <w:rFonts w:ascii="Times New Roman" w:hAnsi="Times New Roman"/>
          <w:sz w:val="24"/>
          <w:szCs w:val="24"/>
        </w:rPr>
        <w:t xml:space="preserve">Mismatch between </w:t>
      </w:r>
      <w:r w:rsidR="009435D2">
        <w:rPr>
          <w:rFonts w:ascii="Times New Roman" w:hAnsi="Times New Roman"/>
          <w:sz w:val="24"/>
          <w:szCs w:val="24"/>
        </w:rPr>
        <w:t>AHI</w:t>
      </w:r>
      <w:r w:rsidR="009435D2" w:rsidRPr="009435D2">
        <w:rPr>
          <w:rFonts w:ascii="Times New Roman" w:hAnsi="Times New Roman"/>
          <w:sz w:val="24"/>
          <w:szCs w:val="24"/>
        </w:rPr>
        <w:t xml:space="preserve"> housing units and affordable housing need for VLI and LI population</w:t>
      </w:r>
    </w:p>
    <w:p w:rsidR="00F93CBC" w:rsidRDefault="00BD5CC5" w:rsidP="004735BE">
      <w:pPr>
        <w:spacing w:after="0"/>
        <w:rPr>
          <w:rFonts w:ascii="Times New Roman" w:hAnsi="Times New Roman"/>
          <w:sz w:val="24"/>
          <w:szCs w:val="24"/>
        </w:rPr>
      </w:pPr>
      <w:r>
        <w:rPr>
          <w:rFonts w:ascii="Times New Roman" w:hAnsi="Times New Roman"/>
          <w:noProof/>
          <w:sz w:val="24"/>
          <w:szCs w:val="24"/>
        </w:rPr>
        <w:lastRenderedPageBreak/>
        <w:drawing>
          <wp:inline distT="0" distB="0" distL="0" distR="0">
            <wp:extent cx="4752975" cy="3733800"/>
            <wp:effectExtent l="19050" t="0" r="9525" b="0"/>
            <wp:docPr id="7" name="Picture 7"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3"/>
                    <pic:cNvPicPr>
                      <a:picLocks noChangeAspect="1" noChangeArrowheads="1"/>
                    </pic:cNvPicPr>
                  </pic:nvPicPr>
                  <pic:blipFill>
                    <a:blip r:embed="rId12" cstate="print"/>
                    <a:srcRect/>
                    <a:stretch>
                      <a:fillRect/>
                    </a:stretch>
                  </pic:blipFill>
                  <pic:spPr bwMode="auto">
                    <a:xfrm>
                      <a:off x="0" y="0"/>
                      <a:ext cx="4752975" cy="3733800"/>
                    </a:xfrm>
                    <a:prstGeom prst="rect">
                      <a:avLst/>
                    </a:prstGeom>
                    <a:noFill/>
                    <a:ln w="9525">
                      <a:noFill/>
                      <a:miter lim="800000"/>
                      <a:headEnd/>
                      <a:tailEnd/>
                    </a:ln>
                  </pic:spPr>
                </pic:pic>
              </a:graphicData>
            </a:graphic>
          </wp:inline>
        </w:drawing>
      </w:r>
    </w:p>
    <w:p w:rsidR="004735BE" w:rsidRDefault="00F93CBC" w:rsidP="009435D2">
      <w:pPr>
        <w:spacing w:after="0" w:line="240" w:lineRule="atLeast"/>
        <w:rPr>
          <w:rFonts w:ascii="Times New Roman" w:hAnsi="Times New Roman"/>
          <w:sz w:val="24"/>
          <w:szCs w:val="24"/>
        </w:rPr>
      </w:pPr>
      <w:r>
        <w:rPr>
          <w:rFonts w:ascii="Times New Roman" w:hAnsi="Times New Roman"/>
          <w:sz w:val="24"/>
          <w:szCs w:val="24"/>
        </w:rPr>
        <w:t>Figure5-</w:t>
      </w:r>
      <w:r w:rsidR="009435D2">
        <w:rPr>
          <w:rFonts w:ascii="Times New Roman" w:hAnsi="Times New Roman"/>
          <w:sz w:val="24"/>
          <w:szCs w:val="24"/>
        </w:rPr>
        <w:t>4</w:t>
      </w:r>
      <w:r w:rsidR="009435D2" w:rsidRPr="009435D2">
        <w:t xml:space="preserve"> </w:t>
      </w:r>
      <w:r w:rsidR="009435D2" w:rsidRPr="009435D2">
        <w:rPr>
          <w:rFonts w:ascii="Times New Roman" w:hAnsi="Times New Roman"/>
          <w:sz w:val="24"/>
          <w:szCs w:val="24"/>
        </w:rPr>
        <w:t xml:space="preserve">Mismatch between </w:t>
      </w:r>
      <w:r w:rsidR="009435D2">
        <w:rPr>
          <w:rFonts w:ascii="Times New Roman" w:hAnsi="Times New Roman"/>
          <w:sz w:val="24"/>
          <w:szCs w:val="24"/>
        </w:rPr>
        <w:t>HUD funded</w:t>
      </w:r>
      <w:r w:rsidR="009435D2" w:rsidRPr="009435D2">
        <w:rPr>
          <w:rFonts w:ascii="Times New Roman" w:hAnsi="Times New Roman"/>
          <w:sz w:val="24"/>
          <w:szCs w:val="24"/>
        </w:rPr>
        <w:t xml:space="preserve"> housing units and affordable housing need for VLI and LI population</w:t>
      </w:r>
    </w:p>
    <w:p w:rsidR="004735BE" w:rsidRDefault="00BD5CC5" w:rsidP="004735BE">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038725" cy="3724275"/>
            <wp:effectExtent l="19050" t="0" r="9525" b="0"/>
            <wp:docPr id="8" name="Picture 8"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4"/>
                    <pic:cNvPicPr>
                      <a:picLocks noChangeAspect="1" noChangeArrowheads="1"/>
                    </pic:cNvPicPr>
                  </pic:nvPicPr>
                  <pic:blipFill>
                    <a:blip r:embed="rId13" cstate="print"/>
                    <a:srcRect/>
                    <a:stretch>
                      <a:fillRect/>
                    </a:stretch>
                  </pic:blipFill>
                  <pic:spPr bwMode="auto">
                    <a:xfrm>
                      <a:off x="0" y="0"/>
                      <a:ext cx="5038725" cy="3724275"/>
                    </a:xfrm>
                    <a:prstGeom prst="rect">
                      <a:avLst/>
                    </a:prstGeom>
                    <a:noFill/>
                    <a:ln w="9525">
                      <a:noFill/>
                      <a:miter lim="800000"/>
                      <a:headEnd/>
                      <a:tailEnd/>
                    </a:ln>
                  </pic:spPr>
                </pic:pic>
              </a:graphicData>
            </a:graphic>
          </wp:inline>
        </w:drawing>
      </w:r>
    </w:p>
    <w:p w:rsidR="00F93CBC" w:rsidRDefault="004735BE" w:rsidP="004735BE">
      <w:pPr>
        <w:spacing w:after="0" w:line="240" w:lineRule="auto"/>
        <w:rPr>
          <w:rFonts w:ascii="Times New Roman" w:hAnsi="Times New Roman"/>
          <w:sz w:val="24"/>
          <w:szCs w:val="24"/>
        </w:rPr>
      </w:pPr>
      <w:r w:rsidRPr="004735BE">
        <w:rPr>
          <w:rFonts w:ascii="Times New Roman" w:hAnsi="Times New Roman"/>
          <w:sz w:val="24"/>
          <w:szCs w:val="24"/>
        </w:rPr>
        <w:t>Figure5-</w:t>
      </w:r>
      <w:r w:rsidR="009435D2">
        <w:rPr>
          <w:rFonts w:ascii="Times New Roman" w:hAnsi="Times New Roman"/>
          <w:sz w:val="24"/>
          <w:szCs w:val="24"/>
        </w:rPr>
        <w:t>5</w:t>
      </w:r>
      <w:r w:rsidR="009435D2" w:rsidRPr="009435D2">
        <w:t xml:space="preserve"> </w:t>
      </w:r>
      <w:r w:rsidR="009435D2" w:rsidRPr="009435D2">
        <w:rPr>
          <w:rFonts w:ascii="Times New Roman" w:hAnsi="Times New Roman"/>
          <w:sz w:val="24"/>
          <w:szCs w:val="24"/>
        </w:rPr>
        <w:t xml:space="preserve">Mismatch between </w:t>
      </w:r>
      <w:r w:rsidR="009435D2">
        <w:rPr>
          <w:rFonts w:ascii="Times New Roman" w:hAnsi="Times New Roman"/>
          <w:sz w:val="24"/>
          <w:szCs w:val="24"/>
        </w:rPr>
        <w:t>FHFC/LHFA funded</w:t>
      </w:r>
      <w:r w:rsidR="009435D2" w:rsidRPr="009435D2">
        <w:rPr>
          <w:rFonts w:ascii="Times New Roman" w:hAnsi="Times New Roman"/>
          <w:sz w:val="24"/>
          <w:szCs w:val="24"/>
        </w:rPr>
        <w:t xml:space="preserve"> housing units and affordable housing need for VLI and LI population</w:t>
      </w:r>
    </w:p>
    <w:p w:rsidR="00E14EC2" w:rsidRDefault="00E14EC2" w:rsidP="004735BE">
      <w:pPr>
        <w:spacing w:after="0" w:line="240" w:lineRule="auto"/>
        <w:rPr>
          <w:rFonts w:ascii="Times New Roman" w:hAnsi="Times New Roman"/>
          <w:sz w:val="24"/>
          <w:szCs w:val="24"/>
        </w:rPr>
      </w:pPr>
    </w:p>
    <w:p w:rsidR="00E14EC2" w:rsidRDefault="00BD5CC5" w:rsidP="004735BE">
      <w:pPr>
        <w:spacing w:after="0" w:line="240" w:lineRule="auto"/>
        <w:rPr>
          <w:noProof/>
          <w:sz w:val="24"/>
          <w:szCs w:val="24"/>
        </w:rPr>
      </w:pPr>
      <w:r>
        <w:rPr>
          <w:noProof/>
          <w:sz w:val="24"/>
          <w:szCs w:val="24"/>
        </w:rPr>
        <w:drawing>
          <wp:inline distT="0" distB="0" distL="0" distR="0">
            <wp:extent cx="5295900" cy="3533775"/>
            <wp:effectExtent l="19050" t="0" r="0" b="0"/>
            <wp:docPr id="9"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4" cstate="print"/>
                    <a:srcRect l="2422" t="1706" r="2182" b="4106"/>
                    <a:stretch>
                      <a:fillRect/>
                    </a:stretch>
                  </pic:blipFill>
                  <pic:spPr bwMode="auto">
                    <a:xfrm>
                      <a:off x="0" y="0"/>
                      <a:ext cx="5295900" cy="3533775"/>
                    </a:xfrm>
                    <a:prstGeom prst="rect">
                      <a:avLst/>
                    </a:prstGeom>
                    <a:noFill/>
                    <a:ln w="9525">
                      <a:noFill/>
                      <a:miter lim="800000"/>
                      <a:headEnd/>
                      <a:tailEnd/>
                    </a:ln>
                  </pic:spPr>
                </pic:pic>
              </a:graphicData>
            </a:graphic>
          </wp:inline>
        </w:drawing>
      </w:r>
    </w:p>
    <w:p w:rsidR="00E14EC2" w:rsidRDefault="00E14EC2" w:rsidP="004735BE">
      <w:pPr>
        <w:spacing w:after="0" w:line="240" w:lineRule="auto"/>
        <w:rPr>
          <w:rFonts w:ascii="Times New Roman" w:hAnsi="Times New Roman"/>
          <w:sz w:val="24"/>
          <w:szCs w:val="24"/>
        </w:rPr>
      </w:pPr>
      <w:r w:rsidRPr="00E14EC2">
        <w:rPr>
          <w:rFonts w:ascii="Times New Roman" w:hAnsi="Times New Roman"/>
          <w:sz w:val="24"/>
          <w:szCs w:val="24"/>
        </w:rPr>
        <w:t>Figure</w:t>
      </w:r>
      <w:r>
        <w:rPr>
          <w:rFonts w:ascii="Times New Roman" w:hAnsi="Times New Roman"/>
          <w:sz w:val="24"/>
          <w:szCs w:val="24"/>
        </w:rPr>
        <w:t xml:space="preserve">5-6 </w:t>
      </w:r>
      <w:r w:rsidR="00D2442C">
        <w:rPr>
          <w:rFonts w:ascii="Times New Roman" w:hAnsi="Times New Roman"/>
          <w:sz w:val="24"/>
          <w:szCs w:val="24"/>
        </w:rPr>
        <w:t>Employment Spatial Mismatch for Assisted and Multifamily Units</w:t>
      </w:r>
    </w:p>
    <w:p w:rsidR="00E14EC2" w:rsidRPr="00E14EC2" w:rsidRDefault="00E14EC2" w:rsidP="004735BE">
      <w:pPr>
        <w:spacing w:after="0" w:line="240" w:lineRule="auto"/>
        <w:rPr>
          <w:rFonts w:ascii="Times New Roman" w:hAnsi="Times New Roman"/>
          <w:sz w:val="24"/>
          <w:szCs w:val="24"/>
        </w:rPr>
      </w:pPr>
    </w:p>
    <w:p w:rsidR="00E14EC2" w:rsidRDefault="00BD5CC5" w:rsidP="004735BE">
      <w:pPr>
        <w:spacing w:after="0" w:line="240" w:lineRule="auto"/>
        <w:rPr>
          <w:noProof/>
          <w:sz w:val="24"/>
          <w:szCs w:val="24"/>
        </w:rPr>
      </w:pPr>
      <w:r>
        <w:rPr>
          <w:noProof/>
          <w:sz w:val="24"/>
          <w:szCs w:val="24"/>
        </w:rPr>
        <w:drawing>
          <wp:inline distT="0" distB="0" distL="0" distR="0">
            <wp:extent cx="5286375" cy="3562350"/>
            <wp:effectExtent l="19050" t="0" r="9525" b="0"/>
            <wp:docPr id="10"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5" cstate="print"/>
                    <a:srcRect l="3787" t="5795" r="4535" b="3769"/>
                    <a:stretch>
                      <a:fillRect/>
                    </a:stretch>
                  </pic:blipFill>
                  <pic:spPr bwMode="auto">
                    <a:xfrm>
                      <a:off x="0" y="0"/>
                      <a:ext cx="5286375" cy="3562350"/>
                    </a:xfrm>
                    <a:prstGeom prst="rect">
                      <a:avLst/>
                    </a:prstGeom>
                    <a:noFill/>
                    <a:ln w="9525">
                      <a:noFill/>
                      <a:miter lim="800000"/>
                      <a:headEnd/>
                      <a:tailEnd/>
                    </a:ln>
                  </pic:spPr>
                </pic:pic>
              </a:graphicData>
            </a:graphic>
          </wp:inline>
        </w:drawing>
      </w:r>
    </w:p>
    <w:p w:rsidR="00D2442C" w:rsidRDefault="00E14EC2" w:rsidP="00D2442C">
      <w:pPr>
        <w:spacing w:after="0" w:line="240" w:lineRule="auto"/>
        <w:rPr>
          <w:rFonts w:ascii="Times New Roman" w:hAnsi="Times New Roman"/>
          <w:sz w:val="24"/>
          <w:szCs w:val="24"/>
        </w:rPr>
      </w:pPr>
      <w:r>
        <w:rPr>
          <w:rFonts w:ascii="Times New Roman" w:hAnsi="Times New Roman"/>
          <w:sz w:val="24"/>
          <w:szCs w:val="24"/>
        </w:rPr>
        <w:t>Figure5-7</w:t>
      </w:r>
      <w:r w:rsidR="00D2442C" w:rsidRPr="00D2442C">
        <w:rPr>
          <w:rFonts w:ascii="Times New Roman" w:hAnsi="Times New Roman"/>
          <w:sz w:val="24"/>
          <w:szCs w:val="24"/>
        </w:rPr>
        <w:t xml:space="preserve"> </w:t>
      </w:r>
      <w:r w:rsidR="00D2442C">
        <w:rPr>
          <w:rFonts w:ascii="Times New Roman" w:hAnsi="Times New Roman"/>
          <w:sz w:val="24"/>
          <w:szCs w:val="24"/>
        </w:rPr>
        <w:t>Employment Spatial Mismatch for Assisted Units by Funding Sources</w:t>
      </w:r>
    </w:p>
    <w:p w:rsidR="00E14EC2" w:rsidRDefault="00E14EC2" w:rsidP="004735BE">
      <w:pPr>
        <w:spacing w:after="0" w:line="240" w:lineRule="auto"/>
        <w:rPr>
          <w:rFonts w:ascii="Times New Roman" w:hAnsi="Times New Roman"/>
          <w:sz w:val="24"/>
          <w:szCs w:val="24"/>
        </w:rPr>
      </w:pPr>
    </w:p>
    <w:p w:rsidR="00E14EC2" w:rsidRDefault="00E14EC2" w:rsidP="004735BE">
      <w:pPr>
        <w:spacing w:after="0" w:line="240" w:lineRule="auto"/>
        <w:rPr>
          <w:rFonts w:ascii="Times New Roman" w:hAnsi="Times New Roman"/>
          <w:sz w:val="24"/>
          <w:szCs w:val="24"/>
        </w:rPr>
      </w:pPr>
    </w:p>
    <w:p w:rsidR="006B1FCE" w:rsidRDefault="006B1FCE" w:rsidP="004735BE">
      <w:pPr>
        <w:spacing w:after="0" w:line="240" w:lineRule="auto"/>
        <w:rPr>
          <w:rFonts w:ascii="Times New Roman" w:hAnsi="Times New Roman"/>
          <w:sz w:val="24"/>
          <w:szCs w:val="24"/>
        </w:rPr>
      </w:pPr>
    </w:p>
    <w:tbl>
      <w:tblPr>
        <w:tblW w:w="0" w:type="auto"/>
        <w:tblLook w:val="04A0"/>
      </w:tblPr>
      <w:tblGrid>
        <w:gridCol w:w="4442"/>
        <w:gridCol w:w="4414"/>
      </w:tblGrid>
      <w:tr w:rsidR="006B1FCE" w:rsidRPr="00940838" w:rsidTr="00940838">
        <w:trPr>
          <w:trHeight w:val="2394"/>
        </w:trPr>
        <w:tc>
          <w:tcPr>
            <w:tcW w:w="4160" w:type="dxa"/>
          </w:tcPr>
          <w:p w:rsidR="006B1FCE" w:rsidRPr="00940838" w:rsidRDefault="00BD5CC5" w:rsidP="00940838">
            <w:pPr>
              <w:spacing w:after="0" w:line="240" w:lineRule="auto"/>
              <w:rPr>
                <w:rFonts w:ascii="Times New Roman" w:hAnsi="Times New Roman"/>
                <w:sz w:val="24"/>
                <w:szCs w:val="24"/>
              </w:rPr>
            </w:pPr>
            <w:r>
              <w:rPr>
                <w:noProof/>
              </w:rPr>
              <w:drawing>
                <wp:inline distT="0" distB="0" distL="0" distR="0">
                  <wp:extent cx="2847975" cy="1838325"/>
                  <wp:effectExtent l="19050" t="0" r="9525" b="0"/>
                  <wp:docPr id="11" name="Picture 0" descr="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G4.jpg"/>
                          <pic:cNvPicPr>
                            <a:picLocks noChangeAspect="1" noChangeArrowheads="1"/>
                          </pic:cNvPicPr>
                        </pic:nvPicPr>
                        <pic:blipFill>
                          <a:blip r:embed="rId16" cstate="print"/>
                          <a:srcRect l="12256" t="50090" r="12144" b="12073"/>
                          <a:stretch>
                            <a:fillRect/>
                          </a:stretch>
                        </pic:blipFill>
                        <pic:spPr bwMode="auto">
                          <a:xfrm>
                            <a:off x="0" y="0"/>
                            <a:ext cx="2847975" cy="1838325"/>
                          </a:xfrm>
                          <a:prstGeom prst="rect">
                            <a:avLst/>
                          </a:prstGeom>
                          <a:noFill/>
                          <a:ln w="9525">
                            <a:noFill/>
                            <a:miter lim="800000"/>
                            <a:headEnd/>
                            <a:tailEnd/>
                          </a:ln>
                        </pic:spPr>
                      </pic:pic>
                    </a:graphicData>
                  </a:graphic>
                </wp:inline>
              </w:drawing>
            </w:r>
          </w:p>
        </w:tc>
        <w:tc>
          <w:tcPr>
            <w:tcW w:w="4095" w:type="dxa"/>
          </w:tcPr>
          <w:p w:rsidR="006B1FCE" w:rsidRPr="00940838" w:rsidRDefault="00BD5CC5" w:rsidP="00940838">
            <w:pPr>
              <w:spacing w:after="0" w:line="240" w:lineRule="auto"/>
              <w:rPr>
                <w:rFonts w:ascii="Times New Roman" w:hAnsi="Times New Roman"/>
                <w:sz w:val="24"/>
                <w:szCs w:val="24"/>
              </w:rPr>
            </w:pPr>
            <w:r>
              <w:rPr>
                <w:noProof/>
              </w:rPr>
              <w:drawing>
                <wp:inline distT="0" distB="0" distL="0" distR="0">
                  <wp:extent cx="2838450" cy="1809750"/>
                  <wp:effectExtent l="19050" t="0" r="0" b="0"/>
                  <wp:docPr id="12" name="Picture 1" descr="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3.jpg"/>
                          <pic:cNvPicPr>
                            <a:picLocks noChangeAspect="1" noChangeArrowheads="1"/>
                          </pic:cNvPicPr>
                        </pic:nvPicPr>
                        <pic:blipFill>
                          <a:blip r:embed="rId17" cstate="print"/>
                          <a:srcRect l="13071" t="50090" r="11816" b="12883"/>
                          <a:stretch>
                            <a:fillRect/>
                          </a:stretch>
                        </pic:blipFill>
                        <pic:spPr bwMode="auto">
                          <a:xfrm>
                            <a:off x="0" y="0"/>
                            <a:ext cx="2838450" cy="1809750"/>
                          </a:xfrm>
                          <a:prstGeom prst="rect">
                            <a:avLst/>
                          </a:prstGeom>
                          <a:noFill/>
                          <a:ln w="9525">
                            <a:noFill/>
                            <a:miter lim="800000"/>
                            <a:headEnd/>
                            <a:tailEnd/>
                          </a:ln>
                        </pic:spPr>
                      </pic:pic>
                    </a:graphicData>
                  </a:graphic>
                </wp:inline>
              </w:drawing>
            </w:r>
          </w:p>
        </w:tc>
      </w:tr>
      <w:tr w:rsidR="006B1FCE" w:rsidRPr="00940838" w:rsidTr="00940838">
        <w:trPr>
          <w:trHeight w:val="2364"/>
        </w:trPr>
        <w:tc>
          <w:tcPr>
            <w:tcW w:w="4160" w:type="dxa"/>
          </w:tcPr>
          <w:p w:rsidR="006B1FCE" w:rsidRPr="00940838" w:rsidRDefault="00BD5CC5" w:rsidP="00940838">
            <w:pPr>
              <w:spacing w:after="0" w:line="240" w:lineRule="auto"/>
              <w:rPr>
                <w:rFonts w:ascii="Times New Roman" w:hAnsi="Times New Roman"/>
                <w:sz w:val="24"/>
                <w:szCs w:val="24"/>
              </w:rPr>
            </w:pPr>
            <w:r>
              <w:rPr>
                <w:noProof/>
              </w:rPr>
              <w:drawing>
                <wp:inline distT="0" distB="0" distL="0" distR="0">
                  <wp:extent cx="2686050" cy="1714500"/>
                  <wp:effectExtent l="19050" t="0" r="0" b="0"/>
                  <wp:docPr id="13" name="Picture 0" descr="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G4.jpg"/>
                          <pic:cNvPicPr>
                            <a:picLocks noChangeAspect="1" noChangeArrowheads="1"/>
                          </pic:cNvPicPr>
                        </pic:nvPicPr>
                        <pic:blipFill>
                          <a:blip r:embed="rId16" cstate="print">
                            <a:grayscl/>
                          </a:blip>
                          <a:srcRect l="12256" t="8919" r="12144" b="53784"/>
                          <a:stretch>
                            <a:fillRect/>
                          </a:stretch>
                        </pic:blipFill>
                        <pic:spPr bwMode="auto">
                          <a:xfrm>
                            <a:off x="0" y="0"/>
                            <a:ext cx="2686050" cy="1714500"/>
                          </a:xfrm>
                          <a:prstGeom prst="rect">
                            <a:avLst/>
                          </a:prstGeom>
                          <a:noFill/>
                          <a:ln w="9525">
                            <a:noFill/>
                            <a:miter lim="800000"/>
                            <a:headEnd/>
                            <a:tailEnd/>
                          </a:ln>
                        </pic:spPr>
                      </pic:pic>
                    </a:graphicData>
                  </a:graphic>
                </wp:inline>
              </w:drawing>
            </w:r>
          </w:p>
        </w:tc>
        <w:tc>
          <w:tcPr>
            <w:tcW w:w="4095" w:type="dxa"/>
          </w:tcPr>
          <w:p w:rsidR="006B1FCE" w:rsidRPr="00940838" w:rsidRDefault="00BD5CC5" w:rsidP="00940838">
            <w:pPr>
              <w:spacing w:after="0" w:line="240" w:lineRule="auto"/>
              <w:rPr>
                <w:rFonts w:ascii="Times New Roman" w:hAnsi="Times New Roman"/>
                <w:sz w:val="24"/>
                <w:szCs w:val="24"/>
              </w:rPr>
            </w:pPr>
            <w:r>
              <w:rPr>
                <w:noProof/>
              </w:rPr>
              <w:drawing>
                <wp:inline distT="0" distB="0" distL="0" distR="0">
                  <wp:extent cx="2762250" cy="1781175"/>
                  <wp:effectExtent l="19050" t="0" r="0" b="0"/>
                  <wp:docPr id="14" name="Picture 1" descr="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3.jpg"/>
                          <pic:cNvPicPr>
                            <a:picLocks noChangeAspect="1" noChangeArrowheads="1"/>
                          </pic:cNvPicPr>
                        </pic:nvPicPr>
                        <pic:blipFill>
                          <a:blip r:embed="rId17" cstate="print"/>
                          <a:srcRect l="13071" t="8919" r="11816" b="53514"/>
                          <a:stretch>
                            <a:fillRect/>
                          </a:stretch>
                        </pic:blipFill>
                        <pic:spPr bwMode="auto">
                          <a:xfrm>
                            <a:off x="0" y="0"/>
                            <a:ext cx="2762250" cy="1781175"/>
                          </a:xfrm>
                          <a:prstGeom prst="rect">
                            <a:avLst/>
                          </a:prstGeom>
                          <a:noFill/>
                          <a:ln w="9525">
                            <a:noFill/>
                            <a:miter lim="800000"/>
                            <a:headEnd/>
                            <a:tailEnd/>
                          </a:ln>
                        </pic:spPr>
                      </pic:pic>
                    </a:graphicData>
                  </a:graphic>
                </wp:inline>
              </w:drawing>
            </w:r>
          </w:p>
        </w:tc>
      </w:tr>
    </w:tbl>
    <w:p w:rsidR="006B1FCE" w:rsidRDefault="006B1FCE" w:rsidP="006B1FCE">
      <w:pPr>
        <w:spacing w:after="0" w:line="240" w:lineRule="atLeast"/>
        <w:rPr>
          <w:rFonts w:ascii="Times New Roman" w:hAnsi="Times New Roman"/>
          <w:sz w:val="24"/>
          <w:szCs w:val="24"/>
        </w:rPr>
      </w:pPr>
      <w:r>
        <w:rPr>
          <w:rFonts w:ascii="Times New Roman" w:hAnsi="Times New Roman"/>
          <w:sz w:val="24"/>
          <w:szCs w:val="24"/>
        </w:rPr>
        <w:t>Figure 5-8 Supply Demand Balance – Multi Family and Assisted Housing Properties</w:t>
      </w:r>
    </w:p>
    <w:p w:rsidR="006B1FCE" w:rsidRDefault="006B1FCE" w:rsidP="006B1FCE">
      <w:pPr>
        <w:rPr>
          <w:noProof/>
        </w:rPr>
      </w:pPr>
    </w:p>
    <w:tbl>
      <w:tblPr>
        <w:tblW w:w="0" w:type="auto"/>
        <w:tblLook w:val="04A0"/>
      </w:tblPr>
      <w:tblGrid>
        <w:gridCol w:w="4428"/>
        <w:gridCol w:w="4428"/>
      </w:tblGrid>
      <w:tr w:rsidR="006B1FCE" w:rsidTr="006B1FCE">
        <w:tc>
          <w:tcPr>
            <w:tcW w:w="4428" w:type="dxa"/>
          </w:tcPr>
          <w:p w:rsidR="006B1FCE" w:rsidRDefault="00BD5CC5" w:rsidP="00112A9C">
            <w:r>
              <w:rPr>
                <w:noProof/>
              </w:rPr>
              <w:drawing>
                <wp:inline distT="0" distB="0" distL="0" distR="0">
                  <wp:extent cx="2647950" cy="1676400"/>
                  <wp:effectExtent l="19050" t="0" r="0" b="0"/>
                  <wp:docPr id="15" name="Picture 10" descr="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5.jpg"/>
                          <pic:cNvPicPr>
                            <a:picLocks noChangeAspect="1" noChangeArrowheads="1"/>
                          </pic:cNvPicPr>
                        </pic:nvPicPr>
                        <pic:blipFill>
                          <a:blip r:embed="rId18" cstate="print"/>
                          <a:srcRect l="13654" t="50270" r="11763" b="13153"/>
                          <a:stretch>
                            <a:fillRect/>
                          </a:stretch>
                        </pic:blipFill>
                        <pic:spPr bwMode="auto">
                          <a:xfrm>
                            <a:off x="0" y="0"/>
                            <a:ext cx="2647950" cy="1676400"/>
                          </a:xfrm>
                          <a:prstGeom prst="rect">
                            <a:avLst/>
                          </a:prstGeom>
                          <a:noFill/>
                          <a:ln w="9525">
                            <a:noFill/>
                            <a:miter lim="800000"/>
                            <a:headEnd/>
                            <a:tailEnd/>
                          </a:ln>
                        </pic:spPr>
                      </pic:pic>
                    </a:graphicData>
                  </a:graphic>
                </wp:inline>
              </w:drawing>
            </w:r>
          </w:p>
        </w:tc>
        <w:tc>
          <w:tcPr>
            <w:tcW w:w="4428" w:type="dxa"/>
          </w:tcPr>
          <w:p w:rsidR="006B1FCE" w:rsidRDefault="00BD5CC5" w:rsidP="00112A9C">
            <w:r>
              <w:rPr>
                <w:noProof/>
              </w:rPr>
              <w:drawing>
                <wp:inline distT="0" distB="0" distL="0" distR="0">
                  <wp:extent cx="2533650" cy="1609725"/>
                  <wp:effectExtent l="19050" t="0" r="0" b="0"/>
                  <wp:docPr id="16" name="Picture 3" descr="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jpg"/>
                          <pic:cNvPicPr>
                            <a:picLocks noChangeAspect="1" noChangeArrowheads="1"/>
                          </pic:cNvPicPr>
                        </pic:nvPicPr>
                        <pic:blipFill>
                          <a:blip r:embed="rId19" cstate="print"/>
                          <a:srcRect l="13657" t="50542" r="11656" b="12793"/>
                          <a:stretch>
                            <a:fillRect/>
                          </a:stretch>
                        </pic:blipFill>
                        <pic:spPr bwMode="auto">
                          <a:xfrm>
                            <a:off x="0" y="0"/>
                            <a:ext cx="2533650" cy="1609725"/>
                          </a:xfrm>
                          <a:prstGeom prst="rect">
                            <a:avLst/>
                          </a:prstGeom>
                          <a:noFill/>
                          <a:ln w="9525">
                            <a:noFill/>
                            <a:miter lim="800000"/>
                            <a:headEnd/>
                            <a:tailEnd/>
                          </a:ln>
                        </pic:spPr>
                      </pic:pic>
                    </a:graphicData>
                  </a:graphic>
                </wp:inline>
              </w:drawing>
            </w:r>
          </w:p>
        </w:tc>
      </w:tr>
      <w:tr w:rsidR="006B1FCE" w:rsidTr="006B1FCE">
        <w:tc>
          <w:tcPr>
            <w:tcW w:w="4428" w:type="dxa"/>
          </w:tcPr>
          <w:p w:rsidR="006B1FCE" w:rsidRDefault="00BD5CC5" w:rsidP="00112A9C">
            <w:r>
              <w:rPr>
                <w:noProof/>
              </w:rPr>
              <w:drawing>
                <wp:inline distT="0" distB="0" distL="0" distR="0">
                  <wp:extent cx="2571750" cy="1666875"/>
                  <wp:effectExtent l="19050" t="0" r="0" b="0"/>
                  <wp:docPr id="17" name="Picture 10" descr="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5.jpg"/>
                          <pic:cNvPicPr>
                            <a:picLocks noChangeAspect="1" noChangeArrowheads="1"/>
                          </pic:cNvPicPr>
                        </pic:nvPicPr>
                        <pic:blipFill>
                          <a:blip r:embed="rId18" cstate="print"/>
                          <a:srcRect l="13654" t="8919" r="11763" b="53694"/>
                          <a:stretch>
                            <a:fillRect/>
                          </a:stretch>
                        </pic:blipFill>
                        <pic:spPr bwMode="auto">
                          <a:xfrm>
                            <a:off x="0" y="0"/>
                            <a:ext cx="2571750" cy="1666875"/>
                          </a:xfrm>
                          <a:prstGeom prst="rect">
                            <a:avLst/>
                          </a:prstGeom>
                          <a:noFill/>
                          <a:ln w="9525">
                            <a:noFill/>
                            <a:miter lim="800000"/>
                            <a:headEnd/>
                            <a:tailEnd/>
                          </a:ln>
                        </pic:spPr>
                      </pic:pic>
                    </a:graphicData>
                  </a:graphic>
                </wp:inline>
              </w:drawing>
            </w:r>
          </w:p>
        </w:tc>
        <w:tc>
          <w:tcPr>
            <w:tcW w:w="4428" w:type="dxa"/>
          </w:tcPr>
          <w:p w:rsidR="006B1FCE" w:rsidRDefault="00BD5CC5" w:rsidP="00112A9C">
            <w:r>
              <w:rPr>
                <w:noProof/>
              </w:rPr>
              <w:drawing>
                <wp:inline distT="0" distB="0" distL="0" distR="0">
                  <wp:extent cx="2533650" cy="1619250"/>
                  <wp:effectExtent l="19050" t="0" r="0" b="0"/>
                  <wp:docPr id="18" name="Picture 3" descr="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jpg"/>
                          <pic:cNvPicPr>
                            <a:picLocks noChangeAspect="1" noChangeArrowheads="1"/>
                          </pic:cNvPicPr>
                        </pic:nvPicPr>
                        <pic:blipFill>
                          <a:blip r:embed="rId19" cstate="print"/>
                          <a:srcRect l="13657" t="8829" r="11656" b="54115"/>
                          <a:stretch>
                            <a:fillRect/>
                          </a:stretch>
                        </pic:blipFill>
                        <pic:spPr bwMode="auto">
                          <a:xfrm>
                            <a:off x="0" y="0"/>
                            <a:ext cx="2533650" cy="1619250"/>
                          </a:xfrm>
                          <a:prstGeom prst="rect">
                            <a:avLst/>
                          </a:prstGeom>
                          <a:noFill/>
                          <a:ln w="9525">
                            <a:noFill/>
                            <a:miter lim="800000"/>
                            <a:headEnd/>
                            <a:tailEnd/>
                          </a:ln>
                        </pic:spPr>
                      </pic:pic>
                    </a:graphicData>
                  </a:graphic>
                </wp:inline>
              </w:drawing>
            </w:r>
          </w:p>
        </w:tc>
      </w:tr>
    </w:tbl>
    <w:p w:rsidR="006B1FCE" w:rsidRDefault="006B1FCE" w:rsidP="006B1FCE">
      <w:pPr>
        <w:spacing w:after="0" w:line="240" w:lineRule="atLeast"/>
        <w:rPr>
          <w:rFonts w:ascii="Times New Roman" w:hAnsi="Times New Roman"/>
          <w:sz w:val="24"/>
          <w:szCs w:val="24"/>
        </w:rPr>
        <w:sectPr w:rsidR="006B1FCE" w:rsidSect="00E04B75">
          <w:pgSz w:w="12240" w:h="15840"/>
          <w:pgMar w:top="1440" w:right="1800" w:bottom="1440" w:left="1800" w:header="720" w:footer="720" w:gutter="0"/>
          <w:cols w:space="720"/>
          <w:docGrid w:linePitch="360"/>
        </w:sectPr>
      </w:pPr>
      <w:r>
        <w:rPr>
          <w:rFonts w:ascii="Times New Roman" w:hAnsi="Times New Roman"/>
          <w:sz w:val="24"/>
          <w:szCs w:val="24"/>
        </w:rPr>
        <w:t>Figure 5-9 Supply Demand Balance – HUD and FHFC Properties</w:t>
      </w:r>
    </w:p>
    <w:p w:rsidR="0035796B" w:rsidRPr="000C2462" w:rsidRDefault="000C2462" w:rsidP="00E14EC2">
      <w:pPr>
        <w:spacing w:line="480" w:lineRule="auto"/>
        <w:rPr>
          <w:rFonts w:ascii="Times New Roman" w:hAnsi="Times New Roman"/>
          <w:b/>
          <w:sz w:val="24"/>
          <w:szCs w:val="24"/>
        </w:rPr>
      </w:pPr>
      <w:r>
        <w:rPr>
          <w:rFonts w:ascii="Times New Roman" w:hAnsi="Times New Roman"/>
          <w:b/>
          <w:sz w:val="24"/>
          <w:szCs w:val="24"/>
        </w:rPr>
        <w:lastRenderedPageBreak/>
        <w:t>APPENDIX B:</w:t>
      </w:r>
      <w:r w:rsidRPr="0035796B">
        <w:rPr>
          <w:rFonts w:ascii="Times New Roman" w:hAnsi="Times New Roman"/>
          <w:b/>
          <w:sz w:val="24"/>
          <w:szCs w:val="24"/>
        </w:rPr>
        <w:t xml:space="preserve"> TABLES</w:t>
      </w:r>
    </w:p>
    <w:p w:rsidR="0035796B" w:rsidRPr="000C2462" w:rsidRDefault="00FF4BF7" w:rsidP="00E14EC2">
      <w:pPr>
        <w:spacing w:after="0" w:line="480" w:lineRule="auto"/>
        <w:rPr>
          <w:rFonts w:ascii="Times New Roman" w:hAnsi="Times New Roman"/>
          <w:sz w:val="24"/>
          <w:szCs w:val="24"/>
        </w:rPr>
      </w:pPr>
      <w:r w:rsidRPr="000C2462">
        <w:rPr>
          <w:rFonts w:ascii="Times New Roman" w:hAnsi="Times New Roman"/>
          <w:sz w:val="24"/>
          <w:szCs w:val="24"/>
        </w:rPr>
        <w:t>Table5-1</w:t>
      </w:r>
      <w:r w:rsidR="00797B41">
        <w:rPr>
          <w:rFonts w:ascii="Times New Roman" w:hAnsi="Times New Roman"/>
          <w:sz w:val="24"/>
          <w:szCs w:val="24"/>
        </w:rPr>
        <w:t xml:space="preserve"> Percentage of the Supply Demand Mismatch </w:t>
      </w:r>
      <w:proofErr w:type="gramStart"/>
      <w:r w:rsidR="00797B41">
        <w:rPr>
          <w:rFonts w:ascii="Times New Roman" w:hAnsi="Times New Roman"/>
          <w:sz w:val="24"/>
          <w:szCs w:val="24"/>
        </w:rPr>
        <w:t>For</w:t>
      </w:r>
      <w:proofErr w:type="gramEnd"/>
      <w:r w:rsidR="00797B41">
        <w:rPr>
          <w:rFonts w:ascii="Times New Roman" w:hAnsi="Times New Roman"/>
          <w:sz w:val="24"/>
          <w:szCs w:val="24"/>
        </w:rPr>
        <w:t xml:space="preserve"> Multifamily and Assisted Housing Units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1882"/>
        <w:gridCol w:w="1520"/>
        <w:gridCol w:w="1690"/>
        <w:gridCol w:w="1688"/>
      </w:tblGrid>
      <w:tr w:rsidR="00FF4BF7" w:rsidRPr="00E14EC2" w:rsidTr="00E14EC2">
        <w:trPr>
          <w:trHeight w:val="347"/>
        </w:trPr>
        <w:tc>
          <w:tcPr>
            <w:tcW w:w="984" w:type="pct"/>
            <w:tcBorders>
              <w:top w:val="single" w:sz="4" w:space="0" w:color="auto"/>
              <w:left w:val="single" w:sz="4" w:space="0" w:color="auto"/>
              <w:bottom w:val="nil"/>
              <w:right w:val="single" w:sz="4" w:space="0" w:color="auto"/>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p>
        </w:tc>
        <w:tc>
          <w:tcPr>
            <w:tcW w:w="4016" w:type="pct"/>
            <w:gridSpan w:val="4"/>
            <w:tcBorders>
              <w:left w:val="single" w:sz="4" w:space="0" w:color="auto"/>
              <w:bottom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MORE THAN AVERAGE</w:t>
            </w:r>
          </w:p>
        </w:tc>
      </w:tr>
      <w:tr w:rsidR="00FF4BF7" w:rsidRPr="00E14EC2" w:rsidTr="00E14EC2">
        <w:trPr>
          <w:trHeight w:val="347"/>
        </w:trPr>
        <w:tc>
          <w:tcPr>
            <w:tcW w:w="984" w:type="pct"/>
            <w:tcBorders>
              <w:top w:val="nil"/>
              <w:left w:val="single" w:sz="4" w:space="0" w:color="auto"/>
              <w:bottom w:val="nil"/>
              <w:right w:val="single" w:sz="4" w:space="0" w:color="auto"/>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DISTANCE (Mile)</w:t>
            </w:r>
          </w:p>
        </w:tc>
        <w:tc>
          <w:tcPr>
            <w:tcW w:w="2015" w:type="pct"/>
            <w:gridSpan w:val="2"/>
            <w:tcBorders>
              <w:top w:val="nil"/>
              <w:left w:val="single" w:sz="4" w:space="0" w:color="auto"/>
              <w:righ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MULTIFAMILY MISMATCH</w:t>
            </w:r>
          </w:p>
        </w:tc>
        <w:tc>
          <w:tcPr>
            <w:tcW w:w="2001" w:type="pct"/>
            <w:gridSpan w:val="2"/>
            <w:tcBorders>
              <w:top w:val="nil"/>
              <w:lef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AHI MISMATCH</w:t>
            </w:r>
          </w:p>
        </w:tc>
      </w:tr>
      <w:tr w:rsidR="00FF4BF7" w:rsidRPr="00E14EC2" w:rsidTr="000C2462">
        <w:trPr>
          <w:trHeight w:val="347"/>
        </w:trPr>
        <w:tc>
          <w:tcPr>
            <w:tcW w:w="984" w:type="pct"/>
            <w:tcBorders>
              <w:top w:val="nil"/>
              <w:left w:val="single" w:sz="4" w:space="0" w:color="auto"/>
              <w:bottom w:val="single" w:sz="4" w:space="0" w:color="auto"/>
              <w:right w:val="single" w:sz="4" w:space="0" w:color="auto"/>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p>
        </w:tc>
        <w:tc>
          <w:tcPr>
            <w:tcW w:w="1110" w:type="pct"/>
            <w:tcBorders>
              <w:left w:val="single" w:sz="4" w:space="0" w:color="auto"/>
              <w:bottom w:val="single" w:sz="4" w:space="0" w:color="auto"/>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VLI_MF</w:t>
            </w:r>
          </w:p>
        </w:tc>
        <w:tc>
          <w:tcPr>
            <w:tcW w:w="905" w:type="pct"/>
            <w:tcBorders>
              <w:bottom w:val="single" w:sz="4" w:space="0" w:color="auto"/>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LI_MF</w:t>
            </w:r>
          </w:p>
        </w:tc>
        <w:tc>
          <w:tcPr>
            <w:tcW w:w="1001" w:type="pct"/>
            <w:tcBorders>
              <w:bottom w:val="single" w:sz="4" w:space="0" w:color="auto"/>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VLI _AHI</w:t>
            </w:r>
          </w:p>
        </w:tc>
        <w:tc>
          <w:tcPr>
            <w:tcW w:w="1000" w:type="pct"/>
            <w:tcBorders>
              <w:bottom w:val="single" w:sz="4" w:space="0" w:color="auto"/>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LI_AHI</w:t>
            </w:r>
          </w:p>
        </w:tc>
      </w:tr>
      <w:tr w:rsidR="00FF4BF7" w:rsidRPr="00E14EC2" w:rsidTr="000C2462">
        <w:trPr>
          <w:trHeight w:val="347"/>
        </w:trPr>
        <w:tc>
          <w:tcPr>
            <w:tcW w:w="984" w:type="pct"/>
            <w:tcBorders>
              <w:top w:val="single" w:sz="4" w:space="0" w:color="auto"/>
              <w:bottom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0.5</w:t>
            </w:r>
          </w:p>
        </w:tc>
        <w:tc>
          <w:tcPr>
            <w:tcW w:w="1110" w:type="pct"/>
            <w:tcBorders>
              <w:bottom w:val="nil"/>
              <w:righ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71.48</w:t>
            </w:r>
          </w:p>
        </w:tc>
        <w:tc>
          <w:tcPr>
            <w:tcW w:w="905" w:type="pct"/>
            <w:tcBorders>
              <w:left w:val="nil"/>
              <w:bottom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71.73</w:t>
            </w:r>
          </w:p>
        </w:tc>
        <w:tc>
          <w:tcPr>
            <w:tcW w:w="1001" w:type="pct"/>
            <w:tcBorders>
              <w:bottom w:val="nil"/>
              <w:righ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84.84</w:t>
            </w:r>
          </w:p>
        </w:tc>
        <w:tc>
          <w:tcPr>
            <w:tcW w:w="1000" w:type="pct"/>
            <w:tcBorders>
              <w:left w:val="nil"/>
              <w:bottom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84.56</w:t>
            </w:r>
          </w:p>
        </w:tc>
      </w:tr>
      <w:tr w:rsidR="00FF4BF7" w:rsidRPr="00E14EC2" w:rsidTr="000C2462">
        <w:trPr>
          <w:trHeight w:val="347"/>
        </w:trPr>
        <w:tc>
          <w:tcPr>
            <w:tcW w:w="984" w:type="pct"/>
            <w:tcBorders>
              <w:top w:val="nil"/>
              <w:bottom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4</w:t>
            </w:r>
          </w:p>
        </w:tc>
        <w:tc>
          <w:tcPr>
            <w:tcW w:w="1110" w:type="pct"/>
            <w:tcBorders>
              <w:top w:val="nil"/>
              <w:bottom w:val="nil"/>
              <w:righ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33.48</w:t>
            </w:r>
          </w:p>
        </w:tc>
        <w:tc>
          <w:tcPr>
            <w:tcW w:w="905" w:type="pct"/>
            <w:tcBorders>
              <w:top w:val="nil"/>
              <w:left w:val="nil"/>
              <w:bottom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32.09</w:t>
            </w:r>
          </w:p>
        </w:tc>
        <w:tc>
          <w:tcPr>
            <w:tcW w:w="1001" w:type="pct"/>
            <w:tcBorders>
              <w:top w:val="nil"/>
              <w:bottom w:val="nil"/>
              <w:righ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40.84</w:t>
            </w:r>
          </w:p>
        </w:tc>
        <w:tc>
          <w:tcPr>
            <w:tcW w:w="1000" w:type="pct"/>
            <w:tcBorders>
              <w:top w:val="nil"/>
              <w:left w:val="nil"/>
              <w:bottom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38.88</w:t>
            </w:r>
          </w:p>
        </w:tc>
      </w:tr>
      <w:tr w:rsidR="00FF4BF7" w:rsidRPr="00E14EC2" w:rsidTr="000C2462">
        <w:trPr>
          <w:trHeight w:val="347"/>
        </w:trPr>
        <w:tc>
          <w:tcPr>
            <w:tcW w:w="984" w:type="pct"/>
            <w:tcBorders>
              <w:top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10</w:t>
            </w:r>
          </w:p>
        </w:tc>
        <w:tc>
          <w:tcPr>
            <w:tcW w:w="1110" w:type="pct"/>
            <w:tcBorders>
              <w:top w:val="nil"/>
              <w:righ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30.49</w:t>
            </w:r>
          </w:p>
        </w:tc>
        <w:tc>
          <w:tcPr>
            <w:tcW w:w="905" w:type="pct"/>
            <w:tcBorders>
              <w:top w:val="nil"/>
              <w:lef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24.76</w:t>
            </w:r>
          </w:p>
        </w:tc>
        <w:tc>
          <w:tcPr>
            <w:tcW w:w="1001" w:type="pct"/>
            <w:tcBorders>
              <w:top w:val="nil"/>
              <w:righ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32.12</w:t>
            </w:r>
          </w:p>
        </w:tc>
        <w:tc>
          <w:tcPr>
            <w:tcW w:w="1000" w:type="pct"/>
            <w:tcBorders>
              <w:top w:val="nil"/>
              <w:left w:val="nil"/>
            </w:tcBorders>
            <w:shd w:val="clear" w:color="auto" w:fill="auto"/>
            <w:noWrap/>
            <w:vAlign w:val="center"/>
            <w:hideMark/>
          </w:tcPr>
          <w:p w:rsidR="00FF4BF7" w:rsidRPr="00E14EC2" w:rsidRDefault="00FF4BF7" w:rsidP="00FF4BF7">
            <w:pPr>
              <w:spacing w:after="0" w:line="240" w:lineRule="auto"/>
              <w:jc w:val="center"/>
              <w:rPr>
                <w:rFonts w:ascii="Times New Roman" w:hAnsi="Times New Roman"/>
                <w:sz w:val="24"/>
                <w:szCs w:val="24"/>
              </w:rPr>
            </w:pPr>
            <w:r w:rsidRPr="00E14EC2">
              <w:rPr>
                <w:rFonts w:ascii="Times New Roman" w:hAnsi="Times New Roman"/>
                <w:sz w:val="24"/>
                <w:szCs w:val="24"/>
              </w:rPr>
              <w:t>26.41</w:t>
            </w:r>
          </w:p>
        </w:tc>
      </w:tr>
    </w:tbl>
    <w:p w:rsidR="00E14EC2" w:rsidRDefault="00E14EC2" w:rsidP="00E14EC2">
      <w:pPr>
        <w:spacing w:after="0" w:line="480" w:lineRule="auto"/>
        <w:rPr>
          <w:rFonts w:ascii="Times New Roman" w:hAnsi="Times New Roman"/>
          <w:sz w:val="24"/>
          <w:szCs w:val="24"/>
        </w:rPr>
      </w:pPr>
    </w:p>
    <w:p w:rsidR="00797B41" w:rsidRPr="000C2462" w:rsidRDefault="00E14EC2" w:rsidP="00797B41">
      <w:pPr>
        <w:spacing w:after="0" w:line="480" w:lineRule="auto"/>
        <w:rPr>
          <w:rFonts w:ascii="Times New Roman" w:hAnsi="Times New Roman"/>
          <w:sz w:val="24"/>
          <w:szCs w:val="24"/>
        </w:rPr>
      </w:pPr>
      <w:r>
        <w:rPr>
          <w:rFonts w:ascii="Times New Roman" w:hAnsi="Times New Roman"/>
          <w:sz w:val="24"/>
          <w:szCs w:val="24"/>
        </w:rPr>
        <w:t>Table5-2</w:t>
      </w:r>
      <w:r w:rsidR="00797B41">
        <w:rPr>
          <w:rFonts w:ascii="Times New Roman" w:hAnsi="Times New Roman"/>
          <w:sz w:val="24"/>
          <w:szCs w:val="24"/>
        </w:rPr>
        <w:t xml:space="preserve"> Percentage of the Supply Demand Mismatch </w:t>
      </w:r>
      <w:proofErr w:type="gramStart"/>
      <w:r w:rsidR="00797B41">
        <w:rPr>
          <w:rFonts w:ascii="Times New Roman" w:hAnsi="Times New Roman"/>
          <w:sz w:val="24"/>
          <w:szCs w:val="24"/>
        </w:rPr>
        <w:t>For</w:t>
      </w:r>
      <w:proofErr w:type="gramEnd"/>
      <w:r w:rsidR="00797B41">
        <w:rPr>
          <w:rFonts w:ascii="Times New Roman" w:hAnsi="Times New Roman"/>
          <w:sz w:val="24"/>
          <w:szCs w:val="24"/>
        </w:rPr>
        <w:t xml:space="preserve"> the Assisted Housing Units by Funding Sources </w:t>
      </w:r>
    </w:p>
    <w:p w:rsidR="00E14EC2" w:rsidRDefault="00E14EC2" w:rsidP="00E14EC2">
      <w:pPr>
        <w:spacing w:after="0" w:line="48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1882"/>
        <w:gridCol w:w="1520"/>
        <w:gridCol w:w="1690"/>
        <w:gridCol w:w="1688"/>
      </w:tblGrid>
      <w:tr w:rsidR="00E14EC2" w:rsidRPr="00E14EC2" w:rsidTr="00E14EC2">
        <w:trPr>
          <w:trHeight w:val="347"/>
        </w:trPr>
        <w:tc>
          <w:tcPr>
            <w:tcW w:w="984" w:type="pct"/>
            <w:tcBorders>
              <w:bottom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p>
        </w:tc>
        <w:tc>
          <w:tcPr>
            <w:tcW w:w="4016" w:type="pct"/>
            <w:gridSpan w:val="4"/>
            <w:tcBorders>
              <w:bottom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MORE THAN AVARAGE</w:t>
            </w:r>
          </w:p>
        </w:tc>
      </w:tr>
      <w:tr w:rsidR="00E14EC2" w:rsidRPr="00E14EC2" w:rsidTr="00E14EC2">
        <w:trPr>
          <w:trHeight w:val="347"/>
        </w:trPr>
        <w:tc>
          <w:tcPr>
            <w:tcW w:w="984" w:type="pct"/>
            <w:tcBorders>
              <w:top w:val="nil"/>
              <w:bottom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DISTANCE (Mile)</w:t>
            </w:r>
          </w:p>
        </w:tc>
        <w:tc>
          <w:tcPr>
            <w:tcW w:w="2015" w:type="pct"/>
            <w:gridSpan w:val="2"/>
            <w:tcBorders>
              <w:top w:val="nil"/>
              <w:right w:val="nil"/>
            </w:tcBorders>
            <w:shd w:val="clear" w:color="auto" w:fill="auto"/>
            <w:noWrap/>
            <w:vAlign w:val="center"/>
            <w:hideMark/>
          </w:tcPr>
          <w:p w:rsidR="00E14EC2" w:rsidRPr="00E14EC2" w:rsidRDefault="00541872" w:rsidP="00E14EC2">
            <w:pPr>
              <w:spacing w:after="0" w:line="240" w:lineRule="auto"/>
              <w:jc w:val="center"/>
              <w:rPr>
                <w:rFonts w:ascii="Times New Roman" w:hAnsi="Times New Roman"/>
                <w:sz w:val="24"/>
                <w:szCs w:val="24"/>
              </w:rPr>
            </w:pPr>
            <w:r>
              <w:rPr>
                <w:rFonts w:ascii="Times New Roman" w:hAnsi="Times New Roman"/>
                <w:sz w:val="24"/>
                <w:szCs w:val="24"/>
              </w:rPr>
              <w:t>HUD_</w:t>
            </w:r>
            <w:r w:rsidR="00E14EC2" w:rsidRPr="00E14EC2">
              <w:rPr>
                <w:rFonts w:ascii="Times New Roman" w:hAnsi="Times New Roman"/>
                <w:sz w:val="24"/>
                <w:szCs w:val="24"/>
              </w:rPr>
              <w:t xml:space="preserve"> MISMATCH</w:t>
            </w:r>
          </w:p>
        </w:tc>
        <w:tc>
          <w:tcPr>
            <w:tcW w:w="2001" w:type="pct"/>
            <w:gridSpan w:val="2"/>
            <w:tcBorders>
              <w:top w:val="nil"/>
              <w:left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FHFC/LHFA MISMATCH</w:t>
            </w:r>
          </w:p>
        </w:tc>
      </w:tr>
      <w:tr w:rsidR="00E14EC2" w:rsidRPr="00E14EC2" w:rsidTr="00E14EC2">
        <w:trPr>
          <w:trHeight w:val="347"/>
        </w:trPr>
        <w:tc>
          <w:tcPr>
            <w:tcW w:w="984" w:type="pct"/>
            <w:tcBorders>
              <w:top w:val="nil"/>
              <w:bottom w:val="single" w:sz="4" w:space="0" w:color="auto"/>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p>
        </w:tc>
        <w:tc>
          <w:tcPr>
            <w:tcW w:w="1110" w:type="pct"/>
            <w:tcBorders>
              <w:bottom w:val="single" w:sz="4" w:space="0" w:color="auto"/>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VLI_MF</w:t>
            </w:r>
          </w:p>
        </w:tc>
        <w:tc>
          <w:tcPr>
            <w:tcW w:w="905" w:type="pct"/>
            <w:tcBorders>
              <w:bottom w:val="single" w:sz="4" w:space="0" w:color="auto"/>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LI_MF</w:t>
            </w:r>
          </w:p>
        </w:tc>
        <w:tc>
          <w:tcPr>
            <w:tcW w:w="1001" w:type="pct"/>
            <w:tcBorders>
              <w:bottom w:val="single" w:sz="4" w:space="0" w:color="auto"/>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VLI _AHI</w:t>
            </w:r>
          </w:p>
        </w:tc>
        <w:tc>
          <w:tcPr>
            <w:tcW w:w="1000" w:type="pct"/>
            <w:tcBorders>
              <w:bottom w:val="single" w:sz="4" w:space="0" w:color="auto"/>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LI_AHI</w:t>
            </w:r>
          </w:p>
        </w:tc>
      </w:tr>
      <w:tr w:rsidR="00E14EC2" w:rsidRPr="00E14EC2" w:rsidTr="00E14EC2">
        <w:trPr>
          <w:trHeight w:val="347"/>
        </w:trPr>
        <w:tc>
          <w:tcPr>
            <w:tcW w:w="984" w:type="pct"/>
            <w:tcBorders>
              <w:bottom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0.5</w:t>
            </w:r>
          </w:p>
        </w:tc>
        <w:tc>
          <w:tcPr>
            <w:tcW w:w="1110" w:type="pct"/>
            <w:tcBorders>
              <w:bottom w:val="nil"/>
              <w:right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90.42</w:t>
            </w:r>
          </w:p>
        </w:tc>
        <w:tc>
          <w:tcPr>
            <w:tcW w:w="905" w:type="pct"/>
            <w:tcBorders>
              <w:left w:val="nil"/>
              <w:bottom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90.18</w:t>
            </w:r>
          </w:p>
        </w:tc>
        <w:tc>
          <w:tcPr>
            <w:tcW w:w="1001" w:type="pct"/>
            <w:tcBorders>
              <w:bottom w:val="nil"/>
              <w:right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88.82</w:t>
            </w:r>
          </w:p>
        </w:tc>
        <w:tc>
          <w:tcPr>
            <w:tcW w:w="1000" w:type="pct"/>
            <w:tcBorders>
              <w:left w:val="nil"/>
              <w:bottom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88.65</w:t>
            </w:r>
          </w:p>
        </w:tc>
      </w:tr>
      <w:tr w:rsidR="00E14EC2" w:rsidRPr="00E14EC2" w:rsidTr="00E14EC2">
        <w:trPr>
          <w:trHeight w:val="347"/>
        </w:trPr>
        <w:tc>
          <w:tcPr>
            <w:tcW w:w="984" w:type="pct"/>
            <w:tcBorders>
              <w:top w:val="nil"/>
              <w:bottom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4</w:t>
            </w:r>
          </w:p>
        </w:tc>
        <w:tc>
          <w:tcPr>
            <w:tcW w:w="1110" w:type="pct"/>
            <w:tcBorders>
              <w:top w:val="nil"/>
              <w:bottom w:val="nil"/>
              <w:right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68.06</w:t>
            </w:r>
          </w:p>
        </w:tc>
        <w:tc>
          <w:tcPr>
            <w:tcW w:w="905" w:type="pct"/>
            <w:tcBorders>
              <w:top w:val="nil"/>
              <w:left w:val="nil"/>
              <w:bottom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66.62</w:t>
            </w:r>
          </w:p>
        </w:tc>
        <w:tc>
          <w:tcPr>
            <w:tcW w:w="1001" w:type="pct"/>
            <w:tcBorders>
              <w:top w:val="nil"/>
              <w:bottom w:val="nil"/>
              <w:right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40.25</w:t>
            </w:r>
          </w:p>
        </w:tc>
        <w:tc>
          <w:tcPr>
            <w:tcW w:w="1000" w:type="pct"/>
            <w:tcBorders>
              <w:top w:val="nil"/>
              <w:left w:val="nil"/>
              <w:bottom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38.59</w:t>
            </w:r>
          </w:p>
        </w:tc>
      </w:tr>
      <w:tr w:rsidR="00E14EC2" w:rsidRPr="00E14EC2" w:rsidTr="00E14EC2">
        <w:trPr>
          <w:trHeight w:val="347"/>
        </w:trPr>
        <w:tc>
          <w:tcPr>
            <w:tcW w:w="984" w:type="pct"/>
            <w:tcBorders>
              <w:top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10</w:t>
            </w:r>
          </w:p>
        </w:tc>
        <w:tc>
          <w:tcPr>
            <w:tcW w:w="1110" w:type="pct"/>
            <w:tcBorders>
              <w:top w:val="nil"/>
              <w:right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42.03</w:t>
            </w:r>
          </w:p>
        </w:tc>
        <w:tc>
          <w:tcPr>
            <w:tcW w:w="905" w:type="pct"/>
            <w:tcBorders>
              <w:top w:val="nil"/>
              <w:left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36.94</w:t>
            </w:r>
          </w:p>
        </w:tc>
        <w:tc>
          <w:tcPr>
            <w:tcW w:w="1001" w:type="pct"/>
            <w:tcBorders>
              <w:top w:val="nil"/>
              <w:right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31.68</w:t>
            </w:r>
          </w:p>
        </w:tc>
        <w:tc>
          <w:tcPr>
            <w:tcW w:w="1000" w:type="pct"/>
            <w:tcBorders>
              <w:top w:val="nil"/>
              <w:left w:val="nil"/>
            </w:tcBorders>
            <w:shd w:val="clear" w:color="auto" w:fill="auto"/>
            <w:noWrap/>
            <w:vAlign w:val="center"/>
            <w:hideMark/>
          </w:tcPr>
          <w:p w:rsidR="00E14EC2" w:rsidRPr="00E14EC2" w:rsidRDefault="00E14EC2" w:rsidP="00E14EC2">
            <w:pPr>
              <w:spacing w:after="0" w:line="240" w:lineRule="auto"/>
              <w:jc w:val="center"/>
              <w:rPr>
                <w:rFonts w:ascii="Times New Roman" w:hAnsi="Times New Roman"/>
                <w:sz w:val="24"/>
                <w:szCs w:val="24"/>
              </w:rPr>
            </w:pPr>
            <w:r w:rsidRPr="00E14EC2">
              <w:rPr>
                <w:rFonts w:ascii="Times New Roman" w:hAnsi="Times New Roman"/>
                <w:sz w:val="24"/>
                <w:szCs w:val="24"/>
              </w:rPr>
              <w:t>26.13</w:t>
            </w:r>
          </w:p>
        </w:tc>
      </w:tr>
    </w:tbl>
    <w:p w:rsidR="00E14EC2" w:rsidRPr="00FF4BF7" w:rsidRDefault="00E14EC2">
      <w:pPr>
        <w:rPr>
          <w:rFonts w:ascii="Times New Roman" w:hAnsi="Times New Roman"/>
          <w:sz w:val="24"/>
          <w:szCs w:val="24"/>
        </w:rPr>
        <w:sectPr w:rsidR="00E14EC2" w:rsidRPr="00FF4BF7" w:rsidSect="00E04B75">
          <w:pgSz w:w="12240" w:h="15840"/>
          <w:pgMar w:top="1440" w:right="1800" w:bottom="1440" w:left="1800" w:header="720" w:footer="720" w:gutter="0"/>
          <w:cols w:space="720"/>
          <w:docGrid w:linePitch="360"/>
        </w:sectPr>
      </w:pPr>
    </w:p>
    <w:p w:rsidR="000443EE" w:rsidRDefault="007024C5">
      <w:pPr>
        <w:rPr>
          <w:rFonts w:ascii="Times New Roman" w:hAnsi="Times New Roman"/>
          <w:b/>
          <w:sz w:val="24"/>
          <w:szCs w:val="24"/>
        </w:rPr>
      </w:pPr>
      <w:r>
        <w:rPr>
          <w:rFonts w:ascii="Times New Roman" w:hAnsi="Times New Roman"/>
          <w:b/>
          <w:sz w:val="24"/>
          <w:szCs w:val="24"/>
        </w:rPr>
        <w:lastRenderedPageBreak/>
        <w:t>Reference</w:t>
      </w:r>
      <w:r w:rsidR="00B460BD">
        <w:rPr>
          <w:rFonts w:ascii="Times New Roman" w:hAnsi="Times New Roman"/>
          <w:b/>
          <w:sz w:val="24"/>
          <w:szCs w:val="24"/>
        </w:rPr>
        <w:t>s</w:t>
      </w:r>
    </w:p>
    <w:p w:rsidR="000443EE" w:rsidRDefault="000443EE">
      <w:pPr>
        <w:rPr>
          <w:rFonts w:ascii="Times New Roman" w:hAnsi="Times New Roman"/>
          <w:sz w:val="24"/>
          <w:szCs w:val="24"/>
        </w:rPr>
      </w:pPr>
      <w:proofErr w:type="spellStart"/>
      <w:proofErr w:type="gramStart"/>
      <w:r w:rsidRPr="000443EE">
        <w:rPr>
          <w:rFonts w:ascii="Times New Roman" w:hAnsi="Times New Roman"/>
          <w:sz w:val="24"/>
          <w:szCs w:val="24"/>
        </w:rPr>
        <w:t>Bogdon</w:t>
      </w:r>
      <w:proofErr w:type="spellEnd"/>
      <w:r w:rsidRPr="000443EE">
        <w:rPr>
          <w:rFonts w:ascii="Times New Roman" w:hAnsi="Times New Roman"/>
          <w:sz w:val="24"/>
          <w:szCs w:val="24"/>
        </w:rPr>
        <w:t>, A. S., &amp; Can, A. (1997).</w:t>
      </w:r>
      <w:proofErr w:type="gramEnd"/>
      <w:r w:rsidRPr="000443EE">
        <w:rPr>
          <w:rFonts w:ascii="Times New Roman" w:hAnsi="Times New Roman"/>
          <w:sz w:val="24"/>
          <w:szCs w:val="24"/>
        </w:rPr>
        <w:t xml:space="preserve"> Indicators of local housing affordability: Comparative </w:t>
      </w:r>
    </w:p>
    <w:p w:rsidR="000443EE" w:rsidRDefault="000443EE" w:rsidP="000443EE">
      <w:pPr>
        <w:ind w:left="720"/>
        <w:rPr>
          <w:rFonts w:ascii="Times New Roman" w:hAnsi="Times New Roman"/>
          <w:sz w:val="24"/>
          <w:szCs w:val="24"/>
        </w:rPr>
      </w:pPr>
      <w:proofErr w:type="gramStart"/>
      <w:r w:rsidRPr="000443EE">
        <w:rPr>
          <w:rFonts w:ascii="Times New Roman" w:hAnsi="Times New Roman"/>
          <w:sz w:val="24"/>
          <w:szCs w:val="24"/>
        </w:rPr>
        <w:t>and</w:t>
      </w:r>
      <w:proofErr w:type="gramEnd"/>
      <w:r w:rsidRPr="000443EE">
        <w:rPr>
          <w:rFonts w:ascii="Times New Roman" w:hAnsi="Times New Roman"/>
          <w:sz w:val="24"/>
          <w:szCs w:val="24"/>
        </w:rPr>
        <w:t xml:space="preserve"> spatial approaches. Real Estate Economics, 25(1), 43-80.</w:t>
      </w:r>
    </w:p>
    <w:p w:rsidR="00151AC9" w:rsidRDefault="00151AC9" w:rsidP="00151AC9">
      <w:pPr>
        <w:rPr>
          <w:rFonts w:ascii="Times New Roman" w:hAnsi="Times New Roman"/>
          <w:sz w:val="24"/>
          <w:szCs w:val="24"/>
        </w:rPr>
      </w:pPr>
      <w:proofErr w:type="gramStart"/>
      <w:r w:rsidRPr="00151AC9">
        <w:rPr>
          <w:rFonts w:ascii="Times New Roman" w:hAnsi="Times New Roman"/>
          <w:sz w:val="24"/>
          <w:szCs w:val="24"/>
        </w:rPr>
        <w:t>Carr M., &amp; Zwick.</w:t>
      </w:r>
      <w:proofErr w:type="gramEnd"/>
      <w:r w:rsidRPr="00151AC9">
        <w:rPr>
          <w:rFonts w:ascii="Times New Roman" w:hAnsi="Times New Roman"/>
          <w:sz w:val="24"/>
          <w:szCs w:val="24"/>
        </w:rPr>
        <w:t xml:space="preserve"> </w:t>
      </w:r>
      <w:proofErr w:type="gramStart"/>
      <w:r w:rsidRPr="00151AC9">
        <w:rPr>
          <w:rFonts w:ascii="Times New Roman" w:hAnsi="Times New Roman"/>
          <w:sz w:val="24"/>
          <w:szCs w:val="24"/>
        </w:rPr>
        <w:t>P. (2007).</w:t>
      </w:r>
      <w:proofErr w:type="gramEnd"/>
      <w:r w:rsidRPr="00151AC9">
        <w:rPr>
          <w:rFonts w:ascii="Times New Roman" w:hAnsi="Times New Roman"/>
          <w:sz w:val="24"/>
          <w:szCs w:val="24"/>
        </w:rPr>
        <w:t xml:space="preserve"> Smart land-use analysis: The LUCIS model. Redlands, CA: </w:t>
      </w:r>
    </w:p>
    <w:p w:rsidR="00151AC9" w:rsidRDefault="00151AC9" w:rsidP="00151AC9">
      <w:pPr>
        <w:rPr>
          <w:rFonts w:ascii="Times New Roman" w:hAnsi="Times New Roman"/>
          <w:sz w:val="24"/>
          <w:szCs w:val="24"/>
        </w:rPr>
      </w:pPr>
      <w:r>
        <w:rPr>
          <w:rFonts w:ascii="Times New Roman" w:hAnsi="Times New Roman"/>
          <w:sz w:val="24"/>
          <w:szCs w:val="24"/>
        </w:rPr>
        <w:tab/>
      </w:r>
      <w:proofErr w:type="gramStart"/>
      <w:r w:rsidRPr="00151AC9">
        <w:rPr>
          <w:rFonts w:ascii="Times New Roman" w:hAnsi="Times New Roman"/>
          <w:sz w:val="24"/>
          <w:szCs w:val="24"/>
        </w:rPr>
        <w:t>ESRI press.</w:t>
      </w:r>
      <w:proofErr w:type="gramEnd"/>
    </w:p>
    <w:p w:rsidR="000D248B" w:rsidRDefault="000D248B" w:rsidP="000D248B">
      <w:pPr>
        <w:spacing w:after="0" w:line="480" w:lineRule="auto"/>
        <w:rPr>
          <w:rFonts w:ascii="Times New Roman" w:hAnsi="Times New Roman"/>
          <w:sz w:val="24"/>
          <w:szCs w:val="24"/>
        </w:rPr>
      </w:pPr>
      <w:proofErr w:type="gramStart"/>
      <w:r w:rsidRPr="000D248B">
        <w:rPr>
          <w:rFonts w:ascii="Times New Roman" w:hAnsi="Times New Roman"/>
          <w:sz w:val="24"/>
          <w:szCs w:val="24"/>
        </w:rPr>
        <w:t xml:space="preserve">Center for </w:t>
      </w:r>
      <w:proofErr w:type="spellStart"/>
      <w:r w:rsidRPr="000D248B">
        <w:rPr>
          <w:rFonts w:ascii="Times New Roman" w:hAnsi="Times New Roman"/>
          <w:sz w:val="24"/>
          <w:szCs w:val="24"/>
        </w:rPr>
        <w:t>Neigborhood</w:t>
      </w:r>
      <w:proofErr w:type="spellEnd"/>
      <w:r w:rsidRPr="000D248B">
        <w:rPr>
          <w:rFonts w:ascii="Times New Roman" w:hAnsi="Times New Roman"/>
          <w:sz w:val="24"/>
          <w:szCs w:val="24"/>
        </w:rPr>
        <w:t xml:space="preserve"> Technology CNT (2010).</w:t>
      </w:r>
      <w:proofErr w:type="gramEnd"/>
      <w:r w:rsidRPr="000D248B">
        <w:rPr>
          <w:rFonts w:ascii="Times New Roman" w:hAnsi="Times New Roman"/>
          <w:sz w:val="24"/>
          <w:szCs w:val="24"/>
        </w:rPr>
        <w:t xml:space="preserve"> True affordabi</w:t>
      </w:r>
      <w:r>
        <w:rPr>
          <w:rFonts w:ascii="Times New Roman" w:hAnsi="Times New Roman"/>
          <w:sz w:val="24"/>
          <w:szCs w:val="24"/>
        </w:rPr>
        <w:t xml:space="preserve">lity and location </w:t>
      </w:r>
    </w:p>
    <w:p w:rsidR="000D248B" w:rsidRPr="000D248B" w:rsidRDefault="000D248B" w:rsidP="000D248B">
      <w:pPr>
        <w:spacing w:after="0" w:line="480" w:lineRule="auto"/>
        <w:rPr>
          <w:rFonts w:ascii="Times New Roman" w:hAnsi="Times New Roman"/>
          <w:sz w:val="24"/>
          <w:szCs w:val="24"/>
        </w:rPr>
      </w:pPr>
      <w:r>
        <w:rPr>
          <w:rFonts w:ascii="Times New Roman" w:hAnsi="Times New Roman"/>
          <w:sz w:val="24"/>
          <w:szCs w:val="24"/>
        </w:rPr>
        <w:tab/>
      </w:r>
      <w:proofErr w:type="gramStart"/>
      <w:r w:rsidRPr="000D248B">
        <w:rPr>
          <w:rFonts w:ascii="Times New Roman" w:hAnsi="Times New Roman"/>
          <w:sz w:val="24"/>
          <w:szCs w:val="24"/>
        </w:rPr>
        <w:t>efficiency</w:t>
      </w:r>
      <w:proofErr w:type="gramEnd"/>
      <w:r w:rsidRPr="000D248B">
        <w:rPr>
          <w:rFonts w:ascii="Times New Roman" w:hAnsi="Times New Roman"/>
          <w:sz w:val="24"/>
          <w:szCs w:val="24"/>
        </w:rPr>
        <w:t xml:space="preserve">. Retrieved January 30, 2011, from </w:t>
      </w:r>
      <w:hyperlink r:id="rId20" w:history="1">
        <w:r w:rsidRPr="000D248B">
          <w:rPr>
            <w:rFonts w:ascii="Times New Roman" w:hAnsi="Times New Roman"/>
            <w:sz w:val="24"/>
            <w:szCs w:val="24"/>
          </w:rPr>
          <w:t>http://htaindex.cnt.org/</w:t>
        </w:r>
      </w:hyperlink>
    </w:p>
    <w:p w:rsidR="00EB3D67" w:rsidRDefault="00C1161B">
      <w:proofErr w:type="spellStart"/>
      <w:proofErr w:type="gramStart"/>
      <w:r w:rsidRPr="00C1161B">
        <w:rPr>
          <w:rFonts w:ascii="Times New Roman" w:hAnsi="Times New Roman"/>
          <w:sz w:val="24"/>
          <w:szCs w:val="24"/>
        </w:rPr>
        <w:t>Da</w:t>
      </w:r>
      <w:r>
        <w:rPr>
          <w:rFonts w:ascii="Times New Roman" w:hAnsi="Times New Roman"/>
          <w:sz w:val="24"/>
          <w:szCs w:val="24"/>
        </w:rPr>
        <w:t>cquisto</w:t>
      </w:r>
      <w:proofErr w:type="spellEnd"/>
      <w:r>
        <w:rPr>
          <w:rFonts w:ascii="Times New Roman" w:hAnsi="Times New Roman"/>
          <w:sz w:val="24"/>
          <w:szCs w:val="24"/>
        </w:rPr>
        <w:t>, D. J.</w:t>
      </w:r>
      <w:r w:rsidR="00EB3D67">
        <w:rPr>
          <w:rFonts w:ascii="Times New Roman" w:hAnsi="Times New Roman"/>
          <w:sz w:val="24"/>
          <w:szCs w:val="24"/>
        </w:rPr>
        <w:t>, &amp;</w:t>
      </w:r>
      <w:proofErr w:type="spellStart"/>
      <w:r w:rsidR="00EB3D67">
        <w:rPr>
          <w:rFonts w:ascii="Times New Roman" w:hAnsi="Times New Roman"/>
          <w:sz w:val="24"/>
          <w:szCs w:val="24"/>
        </w:rPr>
        <w:t>Rodda</w:t>
      </w:r>
      <w:proofErr w:type="spellEnd"/>
      <w:r w:rsidR="00EB3D67">
        <w:rPr>
          <w:rFonts w:ascii="Times New Roman" w:hAnsi="Times New Roman"/>
          <w:sz w:val="24"/>
          <w:szCs w:val="24"/>
        </w:rPr>
        <w:t>, D. T. (2006, January).</w:t>
      </w:r>
      <w:proofErr w:type="gramEnd"/>
      <w:r w:rsidR="00EB3D67">
        <w:rPr>
          <w:rFonts w:ascii="Times New Roman" w:hAnsi="Times New Roman"/>
          <w:sz w:val="24"/>
          <w:szCs w:val="24"/>
        </w:rPr>
        <w:t xml:space="preserve"> </w:t>
      </w:r>
      <w:proofErr w:type="gramStart"/>
      <w:r w:rsidR="00EB3D67">
        <w:rPr>
          <w:rFonts w:ascii="Times New Roman" w:hAnsi="Times New Roman"/>
          <w:sz w:val="24"/>
          <w:szCs w:val="24"/>
        </w:rPr>
        <w:t>Housing Impact Analysis.</w:t>
      </w:r>
      <w:proofErr w:type="gramEnd"/>
      <w:r w:rsidR="00EB3D67">
        <w:rPr>
          <w:rFonts w:ascii="Times New Roman" w:hAnsi="Times New Roman"/>
          <w:sz w:val="24"/>
          <w:szCs w:val="24"/>
        </w:rPr>
        <w:t xml:space="preserve"> Available:</w:t>
      </w:r>
      <w:r w:rsidR="00EB3D67" w:rsidRPr="00EB3D67">
        <w:t xml:space="preserve"> </w:t>
      </w:r>
    </w:p>
    <w:p w:rsidR="00C1161B" w:rsidRPr="00C1161B" w:rsidRDefault="003A129E" w:rsidP="00EB3D67">
      <w:pPr>
        <w:ind w:left="720"/>
        <w:rPr>
          <w:rFonts w:ascii="Times New Roman" w:hAnsi="Times New Roman"/>
          <w:sz w:val="24"/>
          <w:szCs w:val="24"/>
        </w:rPr>
      </w:pPr>
      <w:hyperlink r:id="rId21" w:history="1">
        <w:r w:rsidR="00EB3D67" w:rsidRPr="00A76305">
          <w:rPr>
            <w:rStyle w:val="Hyperlink"/>
            <w:rFonts w:ascii="Times New Roman" w:hAnsi="Times New Roman"/>
            <w:sz w:val="24"/>
            <w:szCs w:val="24"/>
          </w:rPr>
          <w:t>http://www.huduser.org/Publications/pdf/hsgimpact.pdf</w:t>
        </w:r>
      </w:hyperlink>
      <w:r w:rsidR="00EB3D67">
        <w:rPr>
          <w:rFonts w:ascii="Times New Roman" w:hAnsi="Times New Roman"/>
          <w:sz w:val="24"/>
          <w:szCs w:val="24"/>
        </w:rPr>
        <w:t xml:space="preserve"> (2011, November </w:t>
      </w:r>
      <w:proofErr w:type="gramStart"/>
      <w:r w:rsidR="00EB3D67">
        <w:rPr>
          <w:rFonts w:ascii="Times New Roman" w:hAnsi="Times New Roman"/>
          <w:sz w:val="24"/>
          <w:szCs w:val="24"/>
        </w:rPr>
        <w:t>15 )</w:t>
      </w:r>
      <w:proofErr w:type="gramEnd"/>
    </w:p>
    <w:p w:rsidR="000443EE" w:rsidRPr="00F17DB0" w:rsidRDefault="000443EE" w:rsidP="000443EE">
      <w:pPr>
        <w:spacing w:after="0" w:line="480" w:lineRule="auto"/>
        <w:rPr>
          <w:rFonts w:ascii="Times New Roman" w:hAnsi="Times New Roman"/>
          <w:sz w:val="24"/>
          <w:szCs w:val="24"/>
        </w:rPr>
      </w:pPr>
      <w:proofErr w:type="spellStart"/>
      <w:r w:rsidRPr="00D40E33">
        <w:rPr>
          <w:rFonts w:ascii="Times New Roman" w:hAnsi="Times New Roman"/>
          <w:sz w:val="24"/>
          <w:szCs w:val="24"/>
        </w:rPr>
        <w:t>De</w:t>
      </w:r>
      <w:r>
        <w:rPr>
          <w:rFonts w:ascii="Times New Roman" w:hAnsi="Times New Roman"/>
          <w:sz w:val="24"/>
          <w:szCs w:val="24"/>
        </w:rPr>
        <w:t>Pillis</w:t>
      </w:r>
      <w:proofErr w:type="spellEnd"/>
      <w:r>
        <w:rPr>
          <w:rFonts w:ascii="Times New Roman" w:hAnsi="Times New Roman"/>
          <w:sz w:val="24"/>
          <w:szCs w:val="24"/>
        </w:rPr>
        <w:t>, L. (2012</w:t>
      </w:r>
      <w:proofErr w:type="gramStart"/>
      <w:r>
        <w:rPr>
          <w:rFonts w:ascii="Times New Roman" w:hAnsi="Times New Roman"/>
          <w:sz w:val="24"/>
          <w:szCs w:val="24"/>
        </w:rPr>
        <w:t>,Febuary</w:t>
      </w:r>
      <w:proofErr w:type="gramEnd"/>
      <w:r>
        <w:rPr>
          <w:rFonts w:ascii="Times New Roman" w:hAnsi="Times New Roman"/>
          <w:sz w:val="24"/>
          <w:szCs w:val="24"/>
        </w:rPr>
        <w:t xml:space="preserve">). </w:t>
      </w:r>
      <w:r w:rsidRPr="00D40E33">
        <w:rPr>
          <w:rFonts w:ascii="Times New Roman" w:hAnsi="Times New Roman"/>
          <w:sz w:val="24"/>
          <w:szCs w:val="24"/>
        </w:rPr>
        <w:t>Gray Signals Shift to “Demand Side” On Affordable</w:t>
      </w:r>
      <w:r w:rsidRPr="00F17DB0">
        <w:rPr>
          <w:rFonts w:ascii="Times New Roman" w:hAnsi="Times New Roman"/>
          <w:sz w:val="24"/>
          <w:szCs w:val="24"/>
        </w:rPr>
        <w:t xml:space="preserve"> </w:t>
      </w:r>
    </w:p>
    <w:p w:rsidR="000443EE" w:rsidRPr="00F17DB0" w:rsidRDefault="000443EE" w:rsidP="000443EE">
      <w:pPr>
        <w:spacing w:after="0" w:line="480" w:lineRule="auto"/>
        <w:ind w:left="720"/>
        <w:rPr>
          <w:rFonts w:ascii="Times New Roman" w:hAnsi="Times New Roman"/>
          <w:sz w:val="24"/>
          <w:szCs w:val="24"/>
        </w:rPr>
      </w:pPr>
      <w:proofErr w:type="gramStart"/>
      <w:r w:rsidRPr="00D40E33">
        <w:rPr>
          <w:rFonts w:ascii="Times New Roman" w:hAnsi="Times New Roman"/>
          <w:sz w:val="24"/>
          <w:szCs w:val="24"/>
        </w:rPr>
        <w:t>Housing</w:t>
      </w:r>
      <w:r>
        <w:rPr>
          <w:rFonts w:ascii="Times New Roman" w:hAnsi="Times New Roman"/>
          <w:sz w:val="24"/>
          <w:szCs w:val="24"/>
        </w:rPr>
        <w:t>.</w:t>
      </w:r>
      <w:proofErr w:type="gramEnd"/>
      <w:r>
        <w:rPr>
          <w:rFonts w:ascii="Times New Roman" w:hAnsi="Times New Roman"/>
          <w:sz w:val="24"/>
          <w:szCs w:val="24"/>
        </w:rPr>
        <w:t xml:space="preserve"> Available: </w:t>
      </w:r>
      <w:hyperlink r:id="rId22" w:history="1">
        <w:r w:rsidRPr="00C32BB8">
          <w:rPr>
            <w:rStyle w:val="Hyperlink"/>
            <w:rFonts w:ascii="Times New Roman" w:hAnsi="Times New Roman"/>
            <w:sz w:val="24"/>
            <w:szCs w:val="24"/>
          </w:rPr>
          <w:t>http://www.washingtoncitypaper.com/blogs/housingcomplex/2012/02/22/mayor-gray-signals-shift-to-demand-side-on-affordable-housing/</w:t>
        </w:r>
      </w:hyperlink>
      <w:r>
        <w:rPr>
          <w:rFonts w:ascii="Times New Roman" w:hAnsi="Times New Roman"/>
          <w:sz w:val="24"/>
          <w:szCs w:val="24"/>
        </w:rPr>
        <w:t xml:space="preserve"> (2012, March 1)</w:t>
      </w:r>
    </w:p>
    <w:p w:rsidR="001F4C67" w:rsidRDefault="001F4C67" w:rsidP="00B67494">
      <w:pPr>
        <w:spacing w:after="0" w:line="480" w:lineRule="auto"/>
        <w:rPr>
          <w:rFonts w:ascii="Times New Roman" w:hAnsi="Times New Roman"/>
          <w:sz w:val="24"/>
          <w:szCs w:val="24"/>
        </w:rPr>
      </w:pPr>
      <w:proofErr w:type="gramStart"/>
      <w:r>
        <w:rPr>
          <w:rFonts w:ascii="Times New Roman" w:hAnsi="Times New Roman"/>
          <w:sz w:val="24"/>
          <w:szCs w:val="24"/>
        </w:rPr>
        <w:t>Desai, M. (2008, March).</w:t>
      </w:r>
      <w:proofErr w:type="gramEnd"/>
      <w:r>
        <w:rPr>
          <w:rFonts w:ascii="Times New Roman" w:hAnsi="Times New Roman"/>
          <w:sz w:val="24"/>
          <w:szCs w:val="24"/>
        </w:rPr>
        <w:t xml:space="preserve"> Investable Tax Credits: The Case of the Low Income Housing </w:t>
      </w:r>
    </w:p>
    <w:p w:rsidR="001F4C67" w:rsidRDefault="001F4C67" w:rsidP="00B67494">
      <w:pPr>
        <w:spacing w:after="0" w:line="480" w:lineRule="auto"/>
        <w:ind w:left="720"/>
        <w:rPr>
          <w:rFonts w:ascii="Times New Roman" w:hAnsi="Times New Roman"/>
          <w:sz w:val="24"/>
          <w:szCs w:val="24"/>
        </w:rPr>
      </w:pPr>
      <w:proofErr w:type="gramStart"/>
      <w:r>
        <w:rPr>
          <w:rFonts w:ascii="Times New Roman" w:hAnsi="Times New Roman"/>
          <w:sz w:val="24"/>
          <w:szCs w:val="24"/>
        </w:rPr>
        <w:t>Tax Credit.</w:t>
      </w:r>
      <w:proofErr w:type="gramEnd"/>
      <w:r>
        <w:rPr>
          <w:rFonts w:ascii="Times New Roman" w:hAnsi="Times New Roman"/>
          <w:sz w:val="24"/>
          <w:szCs w:val="24"/>
        </w:rPr>
        <w:t xml:space="preserve"> </w:t>
      </w:r>
      <w:proofErr w:type="gramStart"/>
      <w:r>
        <w:rPr>
          <w:rFonts w:ascii="Times New Roman" w:hAnsi="Times New Roman"/>
          <w:sz w:val="24"/>
          <w:szCs w:val="24"/>
        </w:rPr>
        <w:t>Available :</w:t>
      </w:r>
      <w:proofErr w:type="gramEnd"/>
      <w:r w:rsidRPr="001F4C67">
        <w:t xml:space="preserve"> </w:t>
      </w:r>
      <w:hyperlink r:id="rId23" w:history="1">
        <w:r w:rsidRPr="00C32BB8">
          <w:rPr>
            <w:rStyle w:val="Hyperlink"/>
            <w:rFonts w:ascii="Times New Roman" w:hAnsi="Times New Roman"/>
            <w:sz w:val="24"/>
            <w:szCs w:val="24"/>
          </w:rPr>
          <w:t>http://www.nber.org/public_html/confer/2008/tep08/desai.pdf</w:t>
        </w:r>
      </w:hyperlink>
      <w:r>
        <w:rPr>
          <w:rFonts w:ascii="Times New Roman" w:hAnsi="Times New Roman"/>
          <w:sz w:val="24"/>
          <w:szCs w:val="24"/>
        </w:rPr>
        <w:t xml:space="preserve"> (2012, </w:t>
      </w:r>
      <w:proofErr w:type="spellStart"/>
      <w:r>
        <w:rPr>
          <w:rFonts w:ascii="Times New Roman" w:hAnsi="Times New Roman"/>
          <w:sz w:val="24"/>
          <w:szCs w:val="24"/>
        </w:rPr>
        <w:t>Febuary</w:t>
      </w:r>
      <w:proofErr w:type="spellEnd"/>
      <w:r>
        <w:rPr>
          <w:rFonts w:ascii="Times New Roman" w:hAnsi="Times New Roman"/>
          <w:sz w:val="24"/>
          <w:szCs w:val="24"/>
        </w:rPr>
        <w:t xml:space="preserve"> 2)</w:t>
      </w:r>
    </w:p>
    <w:p w:rsidR="00A73111" w:rsidRDefault="00A73111" w:rsidP="00A73111">
      <w:pPr>
        <w:spacing w:after="0" w:line="480" w:lineRule="auto"/>
        <w:rPr>
          <w:rFonts w:ascii="Times New Roman" w:hAnsi="Times New Roman"/>
          <w:sz w:val="24"/>
          <w:szCs w:val="24"/>
        </w:rPr>
      </w:pPr>
      <w:proofErr w:type="gramStart"/>
      <w:r w:rsidRPr="00A73111">
        <w:rPr>
          <w:rFonts w:ascii="Times New Roman" w:hAnsi="Times New Roman"/>
          <w:sz w:val="24"/>
          <w:szCs w:val="24"/>
        </w:rPr>
        <w:t>Florida Affordable Housing Model (2009).</w:t>
      </w:r>
      <w:proofErr w:type="gramEnd"/>
      <w:r w:rsidRPr="00A73111">
        <w:rPr>
          <w:rFonts w:ascii="Times New Roman" w:hAnsi="Times New Roman"/>
          <w:sz w:val="24"/>
          <w:szCs w:val="24"/>
        </w:rPr>
        <w:t xml:space="preserve"> </w:t>
      </w:r>
      <w:proofErr w:type="gramStart"/>
      <w:r w:rsidRPr="00A73111">
        <w:rPr>
          <w:rFonts w:ascii="Times New Roman" w:hAnsi="Times New Roman"/>
          <w:sz w:val="24"/>
          <w:szCs w:val="24"/>
        </w:rPr>
        <w:t>Affordable housing model methodology</w:t>
      </w:r>
      <w:r>
        <w:rPr>
          <w:rFonts w:ascii="Times New Roman" w:hAnsi="Times New Roman"/>
          <w:sz w:val="24"/>
          <w:szCs w:val="24"/>
        </w:rPr>
        <w:t>.</w:t>
      </w:r>
      <w:proofErr w:type="gramEnd"/>
    </w:p>
    <w:p w:rsidR="00A73111" w:rsidRDefault="00A73111" w:rsidP="00A73111">
      <w:pPr>
        <w:spacing w:after="0" w:line="480" w:lineRule="auto"/>
        <w:ind w:firstLine="720"/>
        <w:rPr>
          <w:rFonts w:ascii="Times New Roman" w:hAnsi="Times New Roman"/>
          <w:sz w:val="24"/>
          <w:szCs w:val="24"/>
        </w:rPr>
      </w:pPr>
      <w:r w:rsidRPr="00A73111">
        <w:rPr>
          <w:rFonts w:ascii="Times New Roman" w:hAnsi="Times New Roman"/>
          <w:sz w:val="24"/>
          <w:szCs w:val="24"/>
        </w:rPr>
        <w:t xml:space="preserve">University of Florida: Department of Urban and Regional Planning. </w:t>
      </w:r>
    </w:p>
    <w:p w:rsidR="000443EE" w:rsidRPr="000443EE" w:rsidRDefault="003A129E" w:rsidP="009F6103">
      <w:pPr>
        <w:spacing w:after="0" w:line="480" w:lineRule="auto"/>
        <w:ind w:left="720" w:hanging="720"/>
        <w:rPr>
          <w:rFonts w:ascii="Times New Roman" w:hAnsi="Times New Roman"/>
          <w:sz w:val="24"/>
          <w:szCs w:val="24"/>
        </w:rPr>
      </w:pPr>
      <w:r w:rsidRPr="00D40E33">
        <w:rPr>
          <w:rFonts w:ascii="Times New Roman" w:hAnsi="Times New Roman"/>
          <w:sz w:val="24"/>
          <w:szCs w:val="24"/>
        </w:rPr>
        <w:fldChar w:fldCharType="begin"/>
      </w:r>
      <w:r w:rsidR="004E710D" w:rsidRPr="00D40E33">
        <w:rPr>
          <w:rFonts w:ascii="Times New Roman" w:hAnsi="Times New Roman"/>
          <w:sz w:val="24"/>
          <w:szCs w:val="24"/>
        </w:rPr>
        <w:instrText xml:space="preserve"> ADDIN EN.REFLIST </w:instrText>
      </w:r>
      <w:r w:rsidRPr="00D40E33">
        <w:rPr>
          <w:rFonts w:ascii="Times New Roman" w:hAnsi="Times New Roman"/>
          <w:sz w:val="24"/>
          <w:szCs w:val="24"/>
        </w:rPr>
        <w:fldChar w:fldCharType="separate"/>
      </w:r>
      <w:r w:rsidR="00B56290" w:rsidRPr="000443EE">
        <w:rPr>
          <w:rFonts w:ascii="Times New Roman" w:hAnsi="Times New Roman"/>
          <w:sz w:val="24"/>
          <w:szCs w:val="24"/>
        </w:rPr>
        <w:t>Gobillon, L., Selod, H., &amp; Zenou, Y. (2007). The mechanisms of spatial mismatch. Urban Studies, 44(12), 2401-2427.</w:t>
      </w:r>
    </w:p>
    <w:p w:rsidR="000443EE" w:rsidRPr="000443EE" w:rsidRDefault="00B56290" w:rsidP="009F6103">
      <w:pPr>
        <w:spacing w:after="0" w:line="480" w:lineRule="auto"/>
        <w:ind w:left="720" w:hanging="720"/>
        <w:rPr>
          <w:rFonts w:ascii="Times New Roman" w:hAnsi="Times New Roman"/>
          <w:sz w:val="24"/>
          <w:szCs w:val="24"/>
        </w:rPr>
      </w:pPr>
      <w:r w:rsidRPr="000443EE">
        <w:rPr>
          <w:rFonts w:ascii="Times New Roman" w:hAnsi="Times New Roman"/>
          <w:sz w:val="24"/>
          <w:szCs w:val="24"/>
        </w:rPr>
        <w:t>Gyourko, J., &amp; Saiz, A. (2004). Reinvestment in the housing stock: the role of construction costs and the supply side. Journal of Urban Economics, 55(2), 238-256.</w:t>
      </w:r>
    </w:p>
    <w:p w:rsidR="00B56290" w:rsidRPr="000443EE" w:rsidRDefault="00B56290" w:rsidP="000443EE">
      <w:pPr>
        <w:spacing w:after="0" w:line="480" w:lineRule="auto"/>
        <w:ind w:left="720" w:hanging="720"/>
        <w:rPr>
          <w:rFonts w:ascii="Times New Roman" w:hAnsi="Times New Roman"/>
          <w:sz w:val="24"/>
          <w:szCs w:val="24"/>
        </w:rPr>
      </w:pPr>
      <w:r w:rsidRPr="000443EE">
        <w:rPr>
          <w:rFonts w:ascii="Times New Roman" w:hAnsi="Times New Roman"/>
          <w:sz w:val="24"/>
          <w:szCs w:val="24"/>
        </w:rPr>
        <w:lastRenderedPageBreak/>
        <w:t>Haffner, M., &amp; Heylen, K. (2011). User Costs and Housing Expenses. Towards a more Comprehensive Approach to Affordability. Housing Studies, 26(4), 593-614.</w:t>
      </w:r>
    </w:p>
    <w:p w:rsidR="00B56290" w:rsidRPr="000443EE" w:rsidRDefault="00B56290" w:rsidP="000443EE">
      <w:pPr>
        <w:spacing w:after="0" w:line="480" w:lineRule="auto"/>
        <w:ind w:left="720" w:hanging="720"/>
        <w:rPr>
          <w:rFonts w:ascii="Times New Roman" w:hAnsi="Times New Roman"/>
          <w:sz w:val="24"/>
          <w:szCs w:val="24"/>
        </w:rPr>
      </w:pPr>
      <w:r w:rsidRPr="000443EE">
        <w:rPr>
          <w:rFonts w:ascii="Times New Roman" w:hAnsi="Times New Roman"/>
          <w:sz w:val="24"/>
          <w:szCs w:val="24"/>
        </w:rPr>
        <w:t>Horner, M. W., &amp; Mefford, J. N. (2007). Investigating urban spatial mismatch using job-housing indicators to model home-work separation. Environment and Planning A, 39(6), 1420-1440.</w:t>
      </w:r>
    </w:p>
    <w:p w:rsidR="000443EE" w:rsidRDefault="000443EE" w:rsidP="000443EE">
      <w:pPr>
        <w:spacing w:after="0" w:line="480" w:lineRule="auto"/>
        <w:rPr>
          <w:rFonts w:ascii="Times New Roman" w:hAnsi="Times New Roman"/>
          <w:sz w:val="24"/>
          <w:szCs w:val="24"/>
        </w:rPr>
      </w:pPr>
      <w:r>
        <w:rPr>
          <w:rFonts w:ascii="Times New Roman" w:hAnsi="Times New Roman"/>
          <w:sz w:val="24"/>
          <w:szCs w:val="24"/>
        </w:rPr>
        <w:t>Ray, A., Nguyen, D., O’Dell, W., Roset-Zuppa, P., &amp;White, D. (2009, June).</w:t>
      </w:r>
      <w:r w:rsidRPr="00F17DB0">
        <w:rPr>
          <w:rFonts w:ascii="Times New Roman" w:hAnsi="Times New Roman"/>
          <w:sz w:val="24"/>
          <w:szCs w:val="24"/>
        </w:rPr>
        <w:t xml:space="preserve">The state of </w:t>
      </w:r>
    </w:p>
    <w:p w:rsidR="000443EE" w:rsidRDefault="000443EE" w:rsidP="000443EE">
      <w:pPr>
        <w:spacing w:after="0" w:line="480" w:lineRule="auto"/>
        <w:ind w:left="720"/>
        <w:rPr>
          <w:rFonts w:ascii="Times New Roman" w:hAnsi="Times New Roman"/>
          <w:sz w:val="24"/>
          <w:szCs w:val="24"/>
        </w:rPr>
      </w:pPr>
      <w:r w:rsidRPr="00F17DB0">
        <w:rPr>
          <w:rFonts w:ascii="Times New Roman" w:hAnsi="Times New Roman"/>
          <w:sz w:val="24"/>
          <w:szCs w:val="24"/>
        </w:rPr>
        <w:t>Florida's assisted rental housing</w:t>
      </w:r>
      <w:r>
        <w:rPr>
          <w:rFonts w:ascii="Times New Roman" w:hAnsi="Times New Roman"/>
          <w:sz w:val="24"/>
          <w:szCs w:val="24"/>
        </w:rPr>
        <w:t xml:space="preserve">. </w:t>
      </w:r>
      <w:r w:rsidRPr="00F17DB0">
        <w:rPr>
          <w:rFonts w:ascii="Times New Roman" w:hAnsi="Times New Roman"/>
          <w:sz w:val="24"/>
          <w:szCs w:val="24"/>
        </w:rPr>
        <w:t>Available:</w:t>
      </w:r>
      <w:r w:rsidRPr="00F17DB0">
        <w:t xml:space="preserve"> </w:t>
      </w:r>
      <w:hyperlink r:id="rId24" w:history="1">
        <w:r w:rsidRPr="00C32BB8">
          <w:rPr>
            <w:rStyle w:val="Hyperlink"/>
            <w:rFonts w:ascii="Times New Roman" w:hAnsi="Times New Roman"/>
            <w:sz w:val="24"/>
            <w:szCs w:val="24"/>
          </w:rPr>
          <w:t>http://www.policyarchive.org/handle/10207/bitstreams/20727.pdf</w:t>
        </w:r>
      </w:hyperlink>
      <w:r>
        <w:rPr>
          <w:rFonts w:ascii="Times New Roman" w:hAnsi="Times New Roman"/>
          <w:sz w:val="24"/>
          <w:szCs w:val="24"/>
        </w:rPr>
        <w:t xml:space="preserve"> (2012, February 8)</w:t>
      </w:r>
    </w:p>
    <w:p w:rsidR="00B56290" w:rsidRPr="000443EE" w:rsidRDefault="00B56290" w:rsidP="000443EE">
      <w:pPr>
        <w:spacing w:after="0" w:line="480" w:lineRule="auto"/>
        <w:ind w:left="720" w:hanging="720"/>
        <w:rPr>
          <w:rFonts w:ascii="Times New Roman" w:hAnsi="Times New Roman"/>
          <w:sz w:val="24"/>
          <w:szCs w:val="24"/>
        </w:rPr>
      </w:pPr>
    </w:p>
    <w:p w:rsidR="004E710D" w:rsidRPr="007024C5" w:rsidRDefault="003A129E" w:rsidP="000443EE">
      <w:pPr>
        <w:spacing w:line="480" w:lineRule="auto"/>
        <w:rPr>
          <w:rFonts w:ascii="Times New Roman" w:hAnsi="Times New Roman"/>
          <w:b/>
          <w:sz w:val="24"/>
          <w:szCs w:val="24"/>
        </w:rPr>
      </w:pPr>
      <w:r w:rsidRPr="00D40E33">
        <w:rPr>
          <w:rFonts w:ascii="Times New Roman" w:hAnsi="Times New Roman"/>
          <w:sz w:val="24"/>
          <w:szCs w:val="24"/>
        </w:rPr>
        <w:fldChar w:fldCharType="end"/>
      </w:r>
      <w:r w:rsidR="004E710D">
        <w:rPr>
          <w:rFonts w:ascii="Times New Roman" w:hAnsi="Times New Roman"/>
          <w:b/>
          <w:sz w:val="24"/>
          <w:szCs w:val="24"/>
        </w:rPr>
        <w:tab/>
      </w:r>
      <w:r w:rsidR="004E710D">
        <w:rPr>
          <w:rFonts w:ascii="Times New Roman" w:hAnsi="Times New Roman"/>
          <w:b/>
          <w:sz w:val="24"/>
          <w:szCs w:val="24"/>
        </w:rPr>
        <w:tab/>
      </w:r>
    </w:p>
    <w:sectPr w:rsidR="004E710D" w:rsidRPr="007024C5" w:rsidSect="00E04B7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D3C84"/>
    <w:multiLevelType w:val="hybridMultilevel"/>
    <w:tmpl w:val="977C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AC0784"/>
    <w:multiLevelType w:val="hybridMultilevel"/>
    <w:tmpl w:val="7FF6A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61332E"/>
    <w:multiLevelType w:val="hybridMultilevel"/>
    <w:tmpl w:val="2118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935FDE"/>
    <w:multiLevelType w:val="hybridMultilevel"/>
    <w:tmpl w:val="4D562B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thesis.enl&lt;/item&gt;&lt;/Libraries&gt;&lt;/ENLibraries&gt;"/>
  </w:docVars>
  <w:rsids>
    <w:rsidRoot w:val="001F5CD0"/>
    <w:rsid w:val="000003FC"/>
    <w:rsid w:val="00004712"/>
    <w:rsid w:val="00004798"/>
    <w:rsid w:val="00004FDE"/>
    <w:rsid w:val="00011AA0"/>
    <w:rsid w:val="000121FD"/>
    <w:rsid w:val="000169AE"/>
    <w:rsid w:val="000208EA"/>
    <w:rsid w:val="000305E2"/>
    <w:rsid w:val="00033299"/>
    <w:rsid w:val="000443EE"/>
    <w:rsid w:val="00057E3D"/>
    <w:rsid w:val="0006338D"/>
    <w:rsid w:val="0006683B"/>
    <w:rsid w:val="00072368"/>
    <w:rsid w:val="00091467"/>
    <w:rsid w:val="000A141D"/>
    <w:rsid w:val="000B3D29"/>
    <w:rsid w:val="000C2462"/>
    <w:rsid w:val="000D248B"/>
    <w:rsid w:val="000D5913"/>
    <w:rsid w:val="000E3BAF"/>
    <w:rsid w:val="000E3E2E"/>
    <w:rsid w:val="000F2D8B"/>
    <w:rsid w:val="000F36D5"/>
    <w:rsid w:val="000F4F48"/>
    <w:rsid w:val="00100921"/>
    <w:rsid w:val="00102DCA"/>
    <w:rsid w:val="00111337"/>
    <w:rsid w:val="00112A9C"/>
    <w:rsid w:val="00112DD1"/>
    <w:rsid w:val="00122B8E"/>
    <w:rsid w:val="00125164"/>
    <w:rsid w:val="001304CD"/>
    <w:rsid w:val="001413AC"/>
    <w:rsid w:val="00151AC9"/>
    <w:rsid w:val="001551D5"/>
    <w:rsid w:val="00156374"/>
    <w:rsid w:val="00164246"/>
    <w:rsid w:val="00166B62"/>
    <w:rsid w:val="001750B5"/>
    <w:rsid w:val="001820D8"/>
    <w:rsid w:val="001904ED"/>
    <w:rsid w:val="0019608C"/>
    <w:rsid w:val="001B3083"/>
    <w:rsid w:val="001C3170"/>
    <w:rsid w:val="001D2A77"/>
    <w:rsid w:val="001E15A7"/>
    <w:rsid w:val="001E208B"/>
    <w:rsid w:val="001E2809"/>
    <w:rsid w:val="001F4C67"/>
    <w:rsid w:val="001F5CD0"/>
    <w:rsid w:val="002054C7"/>
    <w:rsid w:val="0022427B"/>
    <w:rsid w:val="00227353"/>
    <w:rsid w:val="00246A54"/>
    <w:rsid w:val="002527EF"/>
    <w:rsid w:val="0025787D"/>
    <w:rsid w:val="002630B2"/>
    <w:rsid w:val="002751EA"/>
    <w:rsid w:val="00290926"/>
    <w:rsid w:val="00291F01"/>
    <w:rsid w:val="00292340"/>
    <w:rsid w:val="002969B4"/>
    <w:rsid w:val="002A3A1B"/>
    <w:rsid w:val="002C179F"/>
    <w:rsid w:val="002C6516"/>
    <w:rsid w:val="002D774D"/>
    <w:rsid w:val="002E328C"/>
    <w:rsid w:val="002E69DC"/>
    <w:rsid w:val="002F14B7"/>
    <w:rsid w:val="00305620"/>
    <w:rsid w:val="003126F5"/>
    <w:rsid w:val="00312AC2"/>
    <w:rsid w:val="003142A3"/>
    <w:rsid w:val="00317343"/>
    <w:rsid w:val="00322DA8"/>
    <w:rsid w:val="00330C9A"/>
    <w:rsid w:val="00340502"/>
    <w:rsid w:val="003415E6"/>
    <w:rsid w:val="00343058"/>
    <w:rsid w:val="00343957"/>
    <w:rsid w:val="00345923"/>
    <w:rsid w:val="00345B2C"/>
    <w:rsid w:val="0035202E"/>
    <w:rsid w:val="0035796B"/>
    <w:rsid w:val="0036421D"/>
    <w:rsid w:val="00364B91"/>
    <w:rsid w:val="00370E88"/>
    <w:rsid w:val="003801B3"/>
    <w:rsid w:val="00382D22"/>
    <w:rsid w:val="00386BD2"/>
    <w:rsid w:val="003A129E"/>
    <w:rsid w:val="003A5D56"/>
    <w:rsid w:val="003B11DC"/>
    <w:rsid w:val="003B7C1A"/>
    <w:rsid w:val="003C2545"/>
    <w:rsid w:val="003C7691"/>
    <w:rsid w:val="003D268C"/>
    <w:rsid w:val="003D3E52"/>
    <w:rsid w:val="003F1040"/>
    <w:rsid w:val="003F76FC"/>
    <w:rsid w:val="003F77E1"/>
    <w:rsid w:val="00405746"/>
    <w:rsid w:val="0041242A"/>
    <w:rsid w:val="0041259B"/>
    <w:rsid w:val="004228CE"/>
    <w:rsid w:val="0043214F"/>
    <w:rsid w:val="004414C6"/>
    <w:rsid w:val="00450425"/>
    <w:rsid w:val="0045081A"/>
    <w:rsid w:val="00450DAD"/>
    <w:rsid w:val="00463336"/>
    <w:rsid w:val="0046364D"/>
    <w:rsid w:val="0047124F"/>
    <w:rsid w:val="004735BE"/>
    <w:rsid w:val="00476206"/>
    <w:rsid w:val="004812DB"/>
    <w:rsid w:val="004976C4"/>
    <w:rsid w:val="004A58EB"/>
    <w:rsid w:val="004A7481"/>
    <w:rsid w:val="004A7906"/>
    <w:rsid w:val="004B29C4"/>
    <w:rsid w:val="004C028A"/>
    <w:rsid w:val="004D382A"/>
    <w:rsid w:val="004D7FF2"/>
    <w:rsid w:val="004E710D"/>
    <w:rsid w:val="00507058"/>
    <w:rsid w:val="00523121"/>
    <w:rsid w:val="005279B9"/>
    <w:rsid w:val="00530CA2"/>
    <w:rsid w:val="00534A2D"/>
    <w:rsid w:val="00541872"/>
    <w:rsid w:val="005548B7"/>
    <w:rsid w:val="00561C19"/>
    <w:rsid w:val="00574C43"/>
    <w:rsid w:val="00587928"/>
    <w:rsid w:val="00593087"/>
    <w:rsid w:val="00595B0D"/>
    <w:rsid w:val="00595BC4"/>
    <w:rsid w:val="005A36F0"/>
    <w:rsid w:val="005A736C"/>
    <w:rsid w:val="005E2058"/>
    <w:rsid w:val="005F6DCE"/>
    <w:rsid w:val="0060758B"/>
    <w:rsid w:val="0061352E"/>
    <w:rsid w:val="006233CE"/>
    <w:rsid w:val="00624BE6"/>
    <w:rsid w:val="00626487"/>
    <w:rsid w:val="00627606"/>
    <w:rsid w:val="0063367A"/>
    <w:rsid w:val="00634FD5"/>
    <w:rsid w:val="0063615E"/>
    <w:rsid w:val="006456E4"/>
    <w:rsid w:val="0065183C"/>
    <w:rsid w:val="0065612A"/>
    <w:rsid w:val="00663D39"/>
    <w:rsid w:val="00671024"/>
    <w:rsid w:val="006718FC"/>
    <w:rsid w:val="006768E0"/>
    <w:rsid w:val="006915C8"/>
    <w:rsid w:val="006924E9"/>
    <w:rsid w:val="006A41AB"/>
    <w:rsid w:val="006B1FCE"/>
    <w:rsid w:val="006B3026"/>
    <w:rsid w:val="006B712A"/>
    <w:rsid w:val="006C22EE"/>
    <w:rsid w:val="006C235F"/>
    <w:rsid w:val="006C3294"/>
    <w:rsid w:val="006D3EFD"/>
    <w:rsid w:val="006D5052"/>
    <w:rsid w:val="006E42D1"/>
    <w:rsid w:val="006E48FB"/>
    <w:rsid w:val="006F2600"/>
    <w:rsid w:val="006F3B0E"/>
    <w:rsid w:val="007024C5"/>
    <w:rsid w:val="00706AE9"/>
    <w:rsid w:val="00711E5F"/>
    <w:rsid w:val="00717FBF"/>
    <w:rsid w:val="00724998"/>
    <w:rsid w:val="00731305"/>
    <w:rsid w:val="007320D9"/>
    <w:rsid w:val="00732119"/>
    <w:rsid w:val="00732B9A"/>
    <w:rsid w:val="00737FA5"/>
    <w:rsid w:val="00746651"/>
    <w:rsid w:val="007506F6"/>
    <w:rsid w:val="00756FDC"/>
    <w:rsid w:val="007602AD"/>
    <w:rsid w:val="00767F4E"/>
    <w:rsid w:val="00780C07"/>
    <w:rsid w:val="00785727"/>
    <w:rsid w:val="00797B41"/>
    <w:rsid w:val="007A2B1B"/>
    <w:rsid w:val="007C688F"/>
    <w:rsid w:val="007D1D5E"/>
    <w:rsid w:val="0080610D"/>
    <w:rsid w:val="0080635C"/>
    <w:rsid w:val="008169D1"/>
    <w:rsid w:val="0082359B"/>
    <w:rsid w:val="00830B16"/>
    <w:rsid w:val="0083222A"/>
    <w:rsid w:val="00837027"/>
    <w:rsid w:val="00842D45"/>
    <w:rsid w:val="00847A00"/>
    <w:rsid w:val="00850492"/>
    <w:rsid w:val="0085387B"/>
    <w:rsid w:val="008549B0"/>
    <w:rsid w:val="00864DB3"/>
    <w:rsid w:val="00865532"/>
    <w:rsid w:val="008769E8"/>
    <w:rsid w:val="00883629"/>
    <w:rsid w:val="00891489"/>
    <w:rsid w:val="008B1095"/>
    <w:rsid w:val="008C572C"/>
    <w:rsid w:val="008C6888"/>
    <w:rsid w:val="008D34B4"/>
    <w:rsid w:val="008E6A3B"/>
    <w:rsid w:val="008F4F18"/>
    <w:rsid w:val="00916907"/>
    <w:rsid w:val="00917C58"/>
    <w:rsid w:val="009336B2"/>
    <w:rsid w:val="00933A32"/>
    <w:rsid w:val="00935D48"/>
    <w:rsid w:val="00940838"/>
    <w:rsid w:val="009435D2"/>
    <w:rsid w:val="00945D20"/>
    <w:rsid w:val="0095055A"/>
    <w:rsid w:val="00950A48"/>
    <w:rsid w:val="00950B64"/>
    <w:rsid w:val="0095371F"/>
    <w:rsid w:val="00954E1B"/>
    <w:rsid w:val="00960804"/>
    <w:rsid w:val="00964055"/>
    <w:rsid w:val="009943B7"/>
    <w:rsid w:val="00995477"/>
    <w:rsid w:val="009A0F45"/>
    <w:rsid w:val="009B05D1"/>
    <w:rsid w:val="009B2D63"/>
    <w:rsid w:val="009B3365"/>
    <w:rsid w:val="009D5F1C"/>
    <w:rsid w:val="009E7E44"/>
    <w:rsid w:val="009F28BE"/>
    <w:rsid w:val="009F3DA0"/>
    <w:rsid w:val="009F542E"/>
    <w:rsid w:val="009F6103"/>
    <w:rsid w:val="00A14453"/>
    <w:rsid w:val="00A16A8D"/>
    <w:rsid w:val="00A17148"/>
    <w:rsid w:val="00A23356"/>
    <w:rsid w:val="00A24962"/>
    <w:rsid w:val="00A36479"/>
    <w:rsid w:val="00A43BD6"/>
    <w:rsid w:val="00A45992"/>
    <w:rsid w:val="00A46070"/>
    <w:rsid w:val="00A53578"/>
    <w:rsid w:val="00A635EA"/>
    <w:rsid w:val="00A73111"/>
    <w:rsid w:val="00A73585"/>
    <w:rsid w:val="00A8565D"/>
    <w:rsid w:val="00A92D07"/>
    <w:rsid w:val="00AA3C07"/>
    <w:rsid w:val="00AB7E4D"/>
    <w:rsid w:val="00AD624F"/>
    <w:rsid w:val="00AF4660"/>
    <w:rsid w:val="00B048B5"/>
    <w:rsid w:val="00B05992"/>
    <w:rsid w:val="00B112CD"/>
    <w:rsid w:val="00B1156C"/>
    <w:rsid w:val="00B17E8D"/>
    <w:rsid w:val="00B20C13"/>
    <w:rsid w:val="00B35D6F"/>
    <w:rsid w:val="00B37AFF"/>
    <w:rsid w:val="00B408BF"/>
    <w:rsid w:val="00B42CDF"/>
    <w:rsid w:val="00B460BD"/>
    <w:rsid w:val="00B466F1"/>
    <w:rsid w:val="00B56290"/>
    <w:rsid w:val="00B56DDC"/>
    <w:rsid w:val="00B57889"/>
    <w:rsid w:val="00B632B0"/>
    <w:rsid w:val="00B67494"/>
    <w:rsid w:val="00B71C79"/>
    <w:rsid w:val="00B7230F"/>
    <w:rsid w:val="00B74E4D"/>
    <w:rsid w:val="00B82BDC"/>
    <w:rsid w:val="00B91136"/>
    <w:rsid w:val="00B91543"/>
    <w:rsid w:val="00B91A2C"/>
    <w:rsid w:val="00B94B01"/>
    <w:rsid w:val="00B95D6B"/>
    <w:rsid w:val="00BA5CAB"/>
    <w:rsid w:val="00BB338C"/>
    <w:rsid w:val="00BB65F9"/>
    <w:rsid w:val="00BC2065"/>
    <w:rsid w:val="00BC5816"/>
    <w:rsid w:val="00BC5C15"/>
    <w:rsid w:val="00BD5CC5"/>
    <w:rsid w:val="00BE42D3"/>
    <w:rsid w:val="00C00864"/>
    <w:rsid w:val="00C07F7D"/>
    <w:rsid w:val="00C10CA8"/>
    <w:rsid w:val="00C1161B"/>
    <w:rsid w:val="00C152C8"/>
    <w:rsid w:val="00C15A82"/>
    <w:rsid w:val="00C175C2"/>
    <w:rsid w:val="00C20D4A"/>
    <w:rsid w:val="00C25581"/>
    <w:rsid w:val="00C3038B"/>
    <w:rsid w:val="00C343DD"/>
    <w:rsid w:val="00C36A64"/>
    <w:rsid w:val="00C47209"/>
    <w:rsid w:val="00C53B7F"/>
    <w:rsid w:val="00C53F4A"/>
    <w:rsid w:val="00C54AB7"/>
    <w:rsid w:val="00C62825"/>
    <w:rsid w:val="00C63FD0"/>
    <w:rsid w:val="00C64A78"/>
    <w:rsid w:val="00C64D0B"/>
    <w:rsid w:val="00C650E1"/>
    <w:rsid w:val="00C8103F"/>
    <w:rsid w:val="00C84164"/>
    <w:rsid w:val="00C9012C"/>
    <w:rsid w:val="00C96D19"/>
    <w:rsid w:val="00CC2ECB"/>
    <w:rsid w:val="00CC5D06"/>
    <w:rsid w:val="00CE62AF"/>
    <w:rsid w:val="00CE7422"/>
    <w:rsid w:val="00CF591D"/>
    <w:rsid w:val="00CF72D7"/>
    <w:rsid w:val="00D07B79"/>
    <w:rsid w:val="00D1466A"/>
    <w:rsid w:val="00D15D68"/>
    <w:rsid w:val="00D2442C"/>
    <w:rsid w:val="00D246BB"/>
    <w:rsid w:val="00D3374F"/>
    <w:rsid w:val="00D40E33"/>
    <w:rsid w:val="00D4310A"/>
    <w:rsid w:val="00D477F1"/>
    <w:rsid w:val="00D61AC0"/>
    <w:rsid w:val="00D623F8"/>
    <w:rsid w:val="00D631EB"/>
    <w:rsid w:val="00D81FC4"/>
    <w:rsid w:val="00D86111"/>
    <w:rsid w:val="00D86E7C"/>
    <w:rsid w:val="00D909DB"/>
    <w:rsid w:val="00D9326B"/>
    <w:rsid w:val="00DC779D"/>
    <w:rsid w:val="00DD14A3"/>
    <w:rsid w:val="00DE2076"/>
    <w:rsid w:val="00DF18C1"/>
    <w:rsid w:val="00E04533"/>
    <w:rsid w:val="00E04B75"/>
    <w:rsid w:val="00E1467B"/>
    <w:rsid w:val="00E14EC2"/>
    <w:rsid w:val="00E17B16"/>
    <w:rsid w:val="00E216B0"/>
    <w:rsid w:val="00E21AFC"/>
    <w:rsid w:val="00E23743"/>
    <w:rsid w:val="00E23906"/>
    <w:rsid w:val="00E24CBD"/>
    <w:rsid w:val="00E27835"/>
    <w:rsid w:val="00E27BB6"/>
    <w:rsid w:val="00E350CC"/>
    <w:rsid w:val="00E5284D"/>
    <w:rsid w:val="00E54258"/>
    <w:rsid w:val="00E647D1"/>
    <w:rsid w:val="00E6526A"/>
    <w:rsid w:val="00E71F13"/>
    <w:rsid w:val="00E77AE9"/>
    <w:rsid w:val="00E81186"/>
    <w:rsid w:val="00E85395"/>
    <w:rsid w:val="00E90750"/>
    <w:rsid w:val="00E9167C"/>
    <w:rsid w:val="00E94959"/>
    <w:rsid w:val="00E96BD2"/>
    <w:rsid w:val="00EA233D"/>
    <w:rsid w:val="00EA2EEB"/>
    <w:rsid w:val="00EA50DE"/>
    <w:rsid w:val="00EA5EAE"/>
    <w:rsid w:val="00EB0FB5"/>
    <w:rsid w:val="00EB1D07"/>
    <w:rsid w:val="00EB3D67"/>
    <w:rsid w:val="00EB57CF"/>
    <w:rsid w:val="00EB6D57"/>
    <w:rsid w:val="00EB6DE6"/>
    <w:rsid w:val="00EC6D77"/>
    <w:rsid w:val="00ED06B5"/>
    <w:rsid w:val="00ED0D45"/>
    <w:rsid w:val="00ED3C19"/>
    <w:rsid w:val="00ED474D"/>
    <w:rsid w:val="00ED4D28"/>
    <w:rsid w:val="00F15F56"/>
    <w:rsid w:val="00F17DB0"/>
    <w:rsid w:val="00F26AD7"/>
    <w:rsid w:val="00F30AB8"/>
    <w:rsid w:val="00F37E5C"/>
    <w:rsid w:val="00F40A90"/>
    <w:rsid w:val="00F550F0"/>
    <w:rsid w:val="00F607CA"/>
    <w:rsid w:val="00F67CE5"/>
    <w:rsid w:val="00F72DBF"/>
    <w:rsid w:val="00F75932"/>
    <w:rsid w:val="00F87BCA"/>
    <w:rsid w:val="00F93CBC"/>
    <w:rsid w:val="00FA1B84"/>
    <w:rsid w:val="00FA4EA7"/>
    <w:rsid w:val="00FA7BAC"/>
    <w:rsid w:val="00FB0845"/>
    <w:rsid w:val="00FC0204"/>
    <w:rsid w:val="00FE588E"/>
    <w:rsid w:val="00FF4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D0"/>
    <w:pPr>
      <w:spacing w:after="200" w:line="276" w:lineRule="auto"/>
    </w:pPr>
    <w:rPr>
      <w:rFonts w:eastAsia="Calibri"/>
      <w:sz w:val="22"/>
      <w:szCs w:val="22"/>
    </w:rPr>
  </w:style>
  <w:style w:type="paragraph" w:styleId="Heading1">
    <w:name w:val="heading 1"/>
    <w:basedOn w:val="Normal"/>
    <w:next w:val="Normal"/>
    <w:link w:val="Heading1Char"/>
    <w:uiPriority w:val="9"/>
    <w:qFormat/>
    <w:rsid w:val="00B112CD"/>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unhideWhenUsed/>
    <w:qFormat/>
    <w:rsid w:val="00ED474D"/>
    <w:pPr>
      <w:keepNext/>
      <w:keepLines/>
      <w:spacing w:before="200" w:after="0"/>
      <w:outlineLvl w:val="1"/>
    </w:pPr>
    <w:rPr>
      <w:rFonts w:ascii="Cambria" w:eastAsia="Times New Roman" w:hAnsi="Cambria"/>
      <w:b/>
      <w:bCs/>
      <w:color w:val="4F81BD"/>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CD0"/>
    <w:pPr>
      <w:ind w:left="720"/>
      <w:contextualSpacing/>
    </w:pPr>
  </w:style>
  <w:style w:type="character" w:customStyle="1" w:styleId="Heading2Char">
    <w:name w:val="Heading 2 Char"/>
    <w:link w:val="Heading2"/>
    <w:uiPriority w:val="9"/>
    <w:rsid w:val="00ED474D"/>
    <w:rPr>
      <w:rFonts w:ascii="Cambria" w:eastAsia="Times New Roman" w:hAnsi="Cambria" w:cs="Times New Roman"/>
      <w:b/>
      <w:bCs/>
      <w:color w:val="4F81BD"/>
      <w:sz w:val="26"/>
      <w:szCs w:val="26"/>
      <w:lang w:eastAsia="zh-CN"/>
    </w:rPr>
  </w:style>
  <w:style w:type="character" w:styleId="Hyperlink">
    <w:name w:val="Hyperlink"/>
    <w:uiPriority w:val="99"/>
    <w:unhideWhenUsed/>
    <w:rsid w:val="00F17DB0"/>
    <w:rPr>
      <w:color w:val="0000FF"/>
      <w:u w:val="single"/>
    </w:rPr>
  </w:style>
  <w:style w:type="character" w:customStyle="1" w:styleId="Heading1Char">
    <w:name w:val="Heading 1 Char"/>
    <w:link w:val="Heading1"/>
    <w:uiPriority w:val="9"/>
    <w:rsid w:val="00B112CD"/>
    <w:rPr>
      <w:rFonts w:ascii="Cambria" w:eastAsia="SimSun" w:hAnsi="Cambria" w:cs="Times New Roman"/>
      <w:b/>
      <w:bCs/>
      <w:kern w:val="32"/>
      <w:sz w:val="32"/>
      <w:szCs w:val="32"/>
      <w:lang w:eastAsia="en-US"/>
    </w:rPr>
  </w:style>
  <w:style w:type="character" w:customStyle="1" w:styleId="trans">
    <w:name w:val="trans"/>
    <w:basedOn w:val="DefaultParagraphFont"/>
    <w:rsid w:val="000C2462"/>
  </w:style>
  <w:style w:type="character" w:styleId="CommentReference">
    <w:name w:val="annotation reference"/>
    <w:uiPriority w:val="99"/>
    <w:semiHidden/>
    <w:unhideWhenUsed/>
    <w:rsid w:val="001304CD"/>
    <w:rPr>
      <w:sz w:val="16"/>
      <w:szCs w:val="16"/>
    </w:rPr>
  </w:style>
  <w:style w:type="paragraph" w:styleId="CommentText">
    <w:name w:val="annotation text"/>
    <w:basedOn w:val="Normal"/>
    <w:link w:val="CommentTextChar"/>
    <w:uiPriority w:val="99"/>
    <w:semiHidden/>
    <w:unhideWhenUsed/>
    <w:rsid w:val="001304CD"/>
    <w:rPr>
      <w:sz w:val="20"/>
      <w:szCs w:val="20"/>
    </w:rPr>
  </w:style>
  <w:style w:type="character" w:customStyle="1" w:styleId="CommentTextChar">
    <w:name w:val="Comment Text Char"/>
    <w:link w:val="CommentText"/>
    <w:uiPriority w:val="99"/>
    <w:semiHidden/>
    <w:rsid w:val="001304CD"/>
    <w:rPr>
      <w:rFonts w:eastAsia="Calibri"/>
      <w:lang w:eastAsia="en-US"/>
    </w:rPr>
  </w:style>
  <w:style w:type="paragraph" w:styleId="CommentSubject">
    <w:name w:val="annotation subject"/>
    <w:basedOn w:val="CommentText"/>
    <w:next w:val="CommentText"/>
    <w:link w:val="CommentSubjectChar"/>
    <w:uiPriority w:val="99"/>
    <w:semiHidden/>
    <w:unhideWhenUsed/>
    <w:rsid w:val="001304CD"/>
    <w:rPr>
      <w:b/>
      <w:bCs/>
    </w:rPr>
  </w:style>
  <w:style w:type="character" w:customStyle="1" w:styleId="CommentSubjectChar">
    <w:name w:val="Comment Subject Char"/>
    <w:link w:val="CommentSubject"/>
    <w:uiPriority w:val="99"/>
    <w:semiHidden/>
    <w:rsid w:val="001304CD"/>
    <w:rPr>
      <w:rFonts w:eastAsia="Calibri"/>
      <w:b/>
      <w:bCs/>
      <w:lang w:eastAsia="en-US"/>
    </w:rPr>
  </w:style>
  <w:style w:type="paragraph" w:styleId="BalloonText">
    <w:name w:val="Balloon Text"/>
    <w:basedOn w:val="Normal"/>
    <w:link w:val="BalloonTextChar"/>
    <w:uiPriority w:val="99"/>
    <w:semiHidden/>
    <w:unhideWhenUsed/>
    <w:rsid w:val="001304C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304CD"/>
    <w:rPr>
      <w:rFonts w:ascii="Tahoma" w:eastAsia="Calibri" w:hAnsi="Tahoma" w:cs="Tahoma"/>
      <w:sz w:val="16"/>
      <w:szCs w:val="16"/>
      <w:lang w:eastAsia="en-US"/>
    </w:rPr>
  </w:style>
  <w:style w:type="paragraph" w:styleId="Revision">
    <w:name w:val="Revision"/>
    <w:hidden/>
    <w:uiPriority w:val="99"/>
    <w:semiHidden/>
    <w:rsid w:val="00166B62"/>
    <w:rPr>
      <w:rFonts w:eastAsia="Calibri"/>
      <w:sz w:val="22"/>
      <w:szCs w:val="22"/>
    </w:rPr>
  </w:style>
  <w:style w:type="paragraph" w:customStyle="1" w:styleId="ReferenceList">
    <w:name w:val="Reference List"/>
    <w:basedOn w:val="Normal"/>
    <w:uiPriority w:val="99"/>
    <w:rsid w:val="000D248B"/>
    <w:pPr>
      <w:keepLines/>
      <w:spacing w:before="120" w:after="120" w:line="240" w:lineRule="auto"/>
      <w:ind w:left="720" w:hanging="720"/>
      <w:jc w:val="both"/>
    </w:pPr>
    <w:rPr>
      <w:rFonts w:ascii="Times New Roman" w:eastAsia="Times New Roman" w:hAnsi="Times New Roman" w:cs="Arial"/>
      <w:sz w:val="24"/>
      <w:szCs w:val="24"/>
    </w:rPr>
  </w:style>
  <w:style w:type="table" w:styleId="TableGrid">
    <w:name w:val="Table Grid"/>
    <w:basedOn w:val="TableNormal"/>
    <w:uiPriority w:val="59"/>
    <w:rsid w:val="006B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851563">
      <w:bodyDiv w:val="1"/>
      <w:marLeft w:val="0"/>
      <w:marRight w:val="0"/>
      <w:marTop w:val="0"/>
      <w:marBottom w:val="0"/>
      <w:divBdr>
        <w:top w:val="none" w:sz="0" w:space="0" w:color="auto"/>
        <w:left w:val="none" w:sz="0" w:space="0" w:color="auto"/>
        <w:bottom w:val="none" w:sz="0" w:space="0" w:color="auto"/>
        <w:right w:val="none" w:sz="0" w:space="0" w:color="auto"/>
      </w:divBdr>
      <w:divsChild>
        <w:div w:id="104541902">
          <w:marLeft w:val="0"/>
          <w:marRight w:val="0"/>
          <w:marTop w:val="0"/>
          <w:marBottom w:val="0"/>
          <w:divBdr>
            <w:top w:val="single" w:sz="6" w:space="0" w:color="CFCFCF"/>
            <w:left w:val="none" w:sz="0" w:space="0" w:color="auto"/>
            <w:bottom w:val="none" w:sz="0" w:space="0" w:color="auto"/>
            <w:right w:val="none" w:sz="0" w:space="0" w:color="auto"/>
          </w:divBdr>
          <w:divsChild>
            <w:div w:id="548811082">
              <w:marLeft w:val="0"/>
              <w:marRight w:val="0"/>
              <w:marTop w:val="0"/>
              <w:marBottom w:val="0"/>
              <w:divBdr>
                <w:top w:val="none" w:sz="0" w:space="0" w:color="auto"/>
                <w:left w:val="none" w:sz="0" w:space="0" w:color="auto"/>
                <w:bottom w:val="none" w:sz="0" w:space="0" w:color="auto"/>
                <w:right w:val="none" w:sz="0" w:space="0" w:color="auto"/>
              </w:divBdr>
              <w:divsChild>
                <w:div w:id="2126734447">
                  <w:marLeft w:val="0"/>
                  <w:marRight w:val="0"/>
                  <w:marTop w:val="0"/>
                  <w:marBottom w:val="0"/>
                  <w:divBdr>
                    <w:top w:val="none" w:sz="0" w:space="0" w:color="auto"/>
                    <w:left w:val="none" w:sz="0" w:space="0" w:color="auto"/>
                    <w:bottom w:val="none" w:sz="0" w:space="0" w:color="auto"/>
                    <w:right w:val="none" w:sz="0" w:space="0" w:color="auto"/>
                  </w:divBdr>
                  <w:divsChild>
                    <w:div w:id="5014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uduser.org/Publications/pdf/hsgimpact.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yperlink" Target="http://htaindex.cnt.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policyarchive.org/handle/10207/bitstreams/20727.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www.nber.org/public_html/confer/2008/tep08/desai.pdf" TargetMode="Externa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washingtoncitypaper.com/blogs/housingcomplex/2012/02/22/mayor-gray-signals-shift-to-demand-side-on-affordable-housing/"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A181C-0CAD-4E77-9FC0-7CC72624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4542</Words>
  <Characters>25891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30373</CharactersWithSpaces>
  <SharedDoc>false</SharedDoc>
  <HLinks>
    <vt:vector size="30" baseType="variant">
      <vt:variant>
        <vt:i4>6684777</vt:i4>
      </vt:variant>
      <vt:variant>
        <vt:i4>25</vt:i4>
      </vt:variant>
      <vt:variant>
        <vt:i4>0</vt:i4>
      </vt:variant>
      <vt:variant>
        <vt:i4>5</vt:i4>
      </vt:variant>
      <vt:variant>
        <vt:lpwstr>http://www.policyarchive.org/handle/10207/bitstreams/20727.pdf</vt:lpwstr>
      </vt:variant>
      <vt:variant>
        <vt:lpwstr/>
      </vt:variant>
      <vt:variant>
        <vt:i4>6357001</vt:i4>
      </vt:variant>
      <vt:variant>
        <vt:i4>20</vt:i4>
      </vt:variant>
      <vt:variant>
        <vt:i4>0</vt:i4>
      </vt:variant>
      <vt:variant>
        <vt:i4>5</vt:i4>
      </vt:variant>
      <vt:variant>
        <vt:lpwstr>http://www.nber.org/public_html/confer/2008/tep08/desai.pdf</vt:lpwstr>
      </vt:variant>
      <vt:variant>
        <vt:lpwstr/>
      </vt:variant>
      <vt:variant>
        <vt:i4>524306</vt:i4>
      </vt:variant>
      <vt:variant>
        <vt:i4>17</vt:i4>
      </vt:variant>
      <vt:variant>
        <vt:i4>0</vt:i4>
      </vt:variant>
      <vt:variant>
        <vt:i4>5</vt:i4>
      </vt:variant>
      <vt:variant>
        <vt:lpwstr>http://www.washingtoncitypaper.com/blogs/housingcomplex/2012/02/22/mayor-gray-signals-shift-to-demand-side-on-affordable-housing/</vt:lpwstr>
      </vt:variant>
      <vt:variant>
        <vt:lpwstr/>
      </vt:variant>
      <vt:variant>
        <vt:i4>1310789</vt:i4>
      </vt:variant>
      <vt:variant>
        <vt:i4>14</vt:i4>
      </vt:variant>
      <vt:variant>
        <vt:i4>0</vt:i4>
      </vt:variant>
      <vt:variant>
        <vt:i4>5</vt:i4>
      </vt:variant>
      <vt:variant>
        <vt:lpwstr>http://www.huduser.org/Publications/pdf/hsgimpact.pdf</vt:lpwstr>
      </vt:variant>
      <vt:variant>
        <vt:lpwstr/>
      </vt:variant>
      <vt:variant>
        <vt:i4>1703959</vt:i4>
      </vt:variant>
      <vt:variant>
        <vt:i4>11</vt:i4>
      </vt:variant>
      <vt:variant>
        <vt:i4>0</vt:i4>
      </vt:variant>
      <vt:variant>
        <vt:i4>5</vt:i4>
      </vt:variant>
      <vt:variant>
        <vt:lpwstr>http://htaindex.cnt.org/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dc:creator>
  <cp:lastModifiedBy>naserarafat</cp:lastModifiedBy>
  <cp:revision>7</cp:revision>
  <dcterms:created xsi:type="dcterms:W3CDTF">2012-04-02T19:25:00Z</dcterms:created>
  <dcterms:modified xsi:type="dcterms:W3CDTF">2012-04-02T19:47:00Z</dcterms:modified>
</cp:coreProperties>
</file>